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增设隔断维修玻璃等项目采购比选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因学校发展的需要，经领导同意，决定对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增设隔断维修玻璃等项目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，现面向社会公开采购比选承包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后勤服务处对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增设隔断维修玻璃等项目</w:t>
      </w:r>
      <w:r>
        <w:rPr>
          <w:rFonts w:hint="eastAsia" w:ascii="仿宋" w:hAnsi="仿宋" w:eastAsia="仿宋" w:cs="仿宋"/>
          <w:sz w:val="32"/>
          <w:szCs w:val="32"/>
        </w:rPr>
        <w:t>。（具体要求见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增设隔断维修玻璃等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二、比选文件要求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技术标内容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公司营业执照等相关资质文件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保修期限1年（承诺书）。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经济标内容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根据后勤服务处对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增设隔断维修玻璃等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报下浮比例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结算时按照实际结算总价的下浮比例进行结算。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份，副本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、比选文件递交时间及地点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比选文件递交截止时间：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比选时间：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比选地点：</w:t>
      </w:r>
      <w:r>
        <w:rPr>
          <w:rFonts w:hint="eastAsia" w:ascii="仿宋" w:hAnsi="仿宋" w:eastAsia="仿宋" w:cs="仿宋"/>
          <w:sz w:val="32"/>
          <w:szCs w:val="32"/>
        </w:rPr>
        <w:t>四川文理学院莲湖校区望月楼会议室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如有调整另行通知。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比选办法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各意向承包商第一轮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中标承包商</w:t>
      </w:r>
      <w:r>
        <w:rPr>
          <w:rFonts w:hint="eastAsia" w:ascii="仿宋" w:hAnsi="仿宋" w:eastAsia="仿宋" w:cs="仿宋"/>
          <w:sz w:val="32"/>
          <w:szCs w:val="32"/>
        </w:rPr>
        <w:t>，下浮比例一致的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投标方</w:t>
      </w:r>
      <w:r>
        <w:rPr>
          <w:rFonts w:hint="eastAsia" w:ascii="仿宋" w:hAnsi="仿宋" w:eastAsia="仿宋" w:cs="仿宋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</w:t>
      </w:r>
      <w:r>
        <w:rPr>
          <w:rFonts w:hint="eastAsia" w:ascii="仿宋" w:hAnsi="仿宋" w:eastAsia="仿宋" w:cs="仿宋"/>
          <w:sz w:val="32"/>
          <w:szCs w:val="32"/>
        </w:rPr>
        <w:t>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如只有一家意向承包商参与竞标，则通过现场谈价方式确定项目金额；如只有两家意向承包商参与竞标，仍采用第一轮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下浮比例最高者确定中标承包商。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询问和质疑联系方式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二〇二一年十一月十一日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3" w:firstLineChars="20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增设隔断维修玻璃等项目清单</w:t>
      </w:r>
    </w:p>
    <w:tbl>
      <w:tblPr>
        <w:tblStyle w:val="3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14"/>
        <w:gridCol w:w="499"/>
        <w:gridCol w:w="209"/>
        <w:gridCol w:w="1089"/>
        <w:gridCol w:w="1101"/>
        <w:gridCol w:w="305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1796" w:type="pct"/>
            <w:vAlign w:val="center"/>
          </w:tcPr>
          <w:p>
            <w:pPr>
              <w:spacing w:line="440" w:lineRule="exact"/>
              <w:ind w:firstLine="426" w:firstLineChars="20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  <w:tc>
          <w:tcPr>
            <w:tcW w:w="520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防盗窗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3240.00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1.位置：南坝校区行政楼207、210办公室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eastAsia="zh-CN"/>
              </w:rPr>
              <w:t>3.材料：301不锈钢圆管</w:t>
            </w:r>
          </w:p>
          <w:p>
            <w:pPr>
              <w:pStyle w:val="2"/>
              <w:ind w:firstLine="0" w:firstLineChars="0"/>
              <w:rPr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eastAsia="zh-CN"/>
              </w:rPr>
              <w:t>4.厚度：1mm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207办公室防盗窗需设小门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拆除原防盗窗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90.00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1.位置：南坝校区行政楼207、210办公室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轻质隔板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136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13600.00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1.位置：新校区体育馆场馆内两侧楼梯；博文楼612教室；艺术传媒大楼3020、3022；图书信息大楼B区B408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3.板厚8cm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4.材质：石膏水泥空心板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线路改造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1.位置：新校区体育馆场馆内两侧楼梯；图书信息大楼B区B408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3.规格：照明线路采用2.5平方铜芯国标电线,空调线路采用4平方铜芯国标电线含电线明装固定pvc塑料壳规格20*10,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2灯、8个开关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踢脚线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2272.00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1.位置：博文楼612教室；艺术传媒大楼3020、3022；图书信息大楼B区B408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3.宽度5-8mm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4.规格：同房间保持一致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乳胶漆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224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6048</w:t>
            </w:r>
            <w:r>
              <w:rPr>
                <w:rFonts w:hint="eastAsia" w:ascii="宋体" w:hAnsi="宋体" w:cs="宋体"/>
                <w:szCs w:val="21"/>
              </w:rPr>
              <w:t xml:space="preserve">.00 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1.位置：博文楼612教室；艺术传媒大楼3020、3022、图书信息大楼B区B408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  <w:t>.基层类型：墙面一般抹灰面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  <w:t>.腻子种类：石膏粉腻子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  <w:t>.刮腻子要求：清理基层，修补，砂纸打磨；满刮腻子一遍，找补两遍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  <w:t>.油漆品种、刷漆遍数：乳胶漆底漆一遍，面漆两遍，材料符合环保要求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办公室门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樘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9000.00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1.位置：图书信息大楼B区B408、博文楼612教室，艺术传媒大楼3020、3022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3.含人材机等综合费用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4.价格为暂估价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仿瓷涂料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52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624.00</w:t>
            </w:r>
          </w:p>
        </w:tc>
        <w:tc>
          <w:tcPr>
            <w:tcW w:w="1796" w:type="pct"/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1.位置：新校区体育馆场馆内两侧楼梯；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.含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部分铲除墙面和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人材机等综合费用</w:t>
            </w:r>
          </w:p>
        </w:tc>
        <w:tc>
          <w:tcPr>
            <w:tcW w:w="520" w:type="pct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普通门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樘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1.位置：新校区体育馆场馆内两侧楼梯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3.新校区体育馆场馆内两侧楼梯为铁制门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新月楼下水管道维修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1.位置：新校区新月楼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3.描述：两处下水管道高约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8m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4.含人材机等综合费用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钢化</w:t>
            </w:r>
            <w:r>
              <w:rPr>
                <w:rFonts w:hint="eastAsia" w:ascii="宋体" w:hAnsi="宋体" w:cs="宋体"/>
                <w:szCs w:val="21"/>
              </w:rPr>
              <w:t>玻璃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441.00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明月楼一楼食堂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门口旁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3.厚度：6mm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4.尺寸：宽：1120mm 高：1865mm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5.类型：单片钢化玻璃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6.含安装拆卸、安全及人材机等综合费用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镀膜玻璃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1.9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760.00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1.位置：新校区一教楼楼梯外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3.厚度：6mm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4.尺寸：宽：962mm 高：1970mm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5.类型：圆弧镀膜钢化玻璃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6.含脚手架、安装拆卸、安全及人材机等综合费用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夹胶玻璃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m2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0.33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115.50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1.位置：新校区传媒楼4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层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2.按照要求规范安全施工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3.厚度：8mm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4.尺寸：宽：450mm 高：750mm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5.类型：夹胶玻璃4+4钢化玻璃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6.含安装拆卸、安全及人材机等综合费用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清理建筑废料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1.位置：新校区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2.负责以上施工场地的日常保洁，及交付使用前的整体清洁、恢复原貌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3.负责以上施工现场产生的建筑垃圾，需运出校外自行处理，处理办法需满足地方环保部门规定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暂列金</w:t>
            </w:r>
          </w:p>
        </w:tc>
        <w:tc>
          <w:tcPr>
            <w:tcW w:w="2005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税前造价</w:t>
            </w:r>
          </w:p>
        </w:tc>
        <w:tc>
          <w:tcPr>
            <w:tcW w:w="2005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42190.50</w:t>
            </w: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2005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3797.15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9%计取</w:t>
            </w: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2005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45987.65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完成该项目的所有费用（含税）。</w:t>
            </w: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3" w:type="pct"/>
            <w:gridSpan w:val="3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结算总价</w:t>
            </w:r>
            <w:r>
              <w:rPr>
                <w:rFonts w:hint="eastAsia" w:ascii="宋体" w:hAnsi="宋体" w:cs="宋体"/>
                <w:szCs w:val="21"/>
              </w:rPr>
              <w:t>下浮比例</w:t>
            </w:r>
          </w:p>
        </w:tc>
        <w:tc>
          <w:tcPr>
            <w:tcW w:w="3726" w:type="pct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%（签字和盖章：             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54AC"/>
    <w:rsid w:val="420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2021-11-11T08:48:00Z</dcterms:created>
  <dc:creator>嘿 ，</dc:creator>
  <cp:lastModifiedBy>嘿 ，</cp:lastModifiedBy>
  <dcterms:modified xsi:type="dcterms:W3CDTF">2021-11-11T08:48:36Z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F23A62D13BBF4B75878963D27BAD05C4</vt:lpwstr>
  </property>
</Properties>
</file>