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left="0" w:leftChars="0" w:firstLine="3012" w:firstLineChars="10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四川文理学院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莲湖校区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纪委谈话室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维修项目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采购比选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文件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因学校发展的需要，决定对莲湖校区行政楼纪委谈话室进行维修，现面向社会公开采购比选承包商。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对莲湖校区纪委谈话室进行维修改造。</w:t>
      </w:r>
      <w:r>
        <w:rPr>
          <w:rFonts w:hint="eastAsia" w:ascii="仿宋" w:hAnsi="仿宋" w:eastAsia="仿宋" w:cs="仿宋"/>
          <w:sz w:val="24"/>
          <w:szCs w:val="24"/>
        </w:rPr>
        <w:t>（具体要求见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莲湖校区纪委谈话室维修项目</w:t>
      </w:r>
      <w:r>
        <w:rPr>
          <w:rFonts w:hint="eastAsia" w:ascii="仿宋" w:hAnsi="仿宋" w:eastAsia="仿宋" w:cs="仿宋"/>
          <w:sz w:val="24"/>
          <w:szCs w:val="24"/>
        </w:rPr>
        <w:t>工程清单报价表中项目特征）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二、比选文件要求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1、技术标内容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（1）公司负责人（或法定代表人）身份证明文件；是委托的，应有公司负责人（或法定代表人）的委托书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（2）公司营业执照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营业范围应包含建筑工程领域或装饰装修领域。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）公司应具备装饰装修或建筑工程行业国家所规定的最低资质要求，同时在人员、设备、资金等方面具有相应的施工能力。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）质保期1年。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2、经济标内容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根据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招标文件所附报价表填报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下浮比例，结算时依照招标工程量清单及合同约定办理结算。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）各投标单位应本着公平公正、合理竞争的态度进行投标报价，不得恶意低价应标，若评标委员会裁定有恶意低价应标者，有权直接废除其投标资格。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上述资料均需加盖公司鲜章，一式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份（其中正本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份，副本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份），密封在一个文件包内，在密封包的密封处加盖公司鲜章或由法定代表人或委托代理人签字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、比选文件递交时间及地点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1、比选文件递交截止时间：202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8:50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、比选时间：202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9:00;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、比选地点：四川文理学院莲湖校区望月楼会议室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如有调整另行通知。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、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比选办法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采购单位</w:t>
      </w:r>
      <w:r>
        <w:rPr>
          <w:rFonts w:hint="eastAsia" w:ascii="仿宋" w:hAnsi="仿宋" w:eastAsia="仿宋" w:cs="仿宋"/>
          <w:sz w:val="24"/>
          <w:szCs w:val="24"/>
        </w:rPr>
        <w:t>依据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各意向承包商投标文件及报价情况</w:t>
      </w:r>
      <w:r>
        <w:rPr>
          <w:rFonts w:hint="eastAsia" w:ascii="仿宋" w:hAnsi="仿宋" w:eastAsia="仿宋" w:cs="仿宋"/>
          <w:sz w:val="24"/>
          <w:szCs w:val="24"/>
        </w:rPr>
        <w:t>确定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中标候选人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若各投标单位资质符合条件且报价一致的</w:t>
      </w:r>
      <w:r>
        <w:rPr>
          <w:rFonts w:hint="eastAsia" w:ascii="仿宋" w:hAnsi="仿宋" w:eastAsia="仿宋" w:cs="仿宋"/>
          <w:sz w:val="24"/>
          <w:szCs w:val="24"/>
        </w:rPr>
        <w:t>需现场进行抽签确定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中标承包</w:t>
      </w:r>
      <w:r>
        <w:rPr>
          <w:rFonts w:hint="eastAsia" w:ascii="仿宋" w:hAnsi="仿宋" w:eastAsia="仿宋" w:cs="仿宋"/>
          <w:sz w:val="24"/>
          <w:szCs w:val="24"/>
        </w:rPr>
        <w:t>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询问和质疑联系方式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舒老师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0818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-2830667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四川文理学院后勤服务处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二〇二二年七月十三日</w:t>
      </w: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jc w:val="both"/>
        <w:rPr>
          <w:rFonts w:hint="eastAsia" w:ascii="宋体" w:hAnsi="宋体"/>
          <w:b/>
          <w:color w:val="auto"/>
          <w:sz w:val="32"/>
          <w:szCs w:val="32"/>
          <w:highlight w:val="none"/>
        </w:rPr>
      </w:pP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报 价 表</w:t>
      </w: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jc w:val="left"/>
        <w:rPr>
          <w:rFonts w:hint="eastAsia" w:ascii="宋体" w:hAnsi="宋体"/>
          <w:b/>
          <w:color w:val="auto"/>
          <w:sz w:val="28"/>
          <w:highlight w:val="none"/>
        </w:rPr>
      </w:pPr>
    </w:p>
    <w:tbl>
      <w:tblPr>
        <w:tblStyle w:val="6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6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2151" w:type="dxa"/>
            <w:noWrap w:val="0"/>
            <w:vAlign w:val="center"/>
          </w:tcPr>
          <w:p>
            <w:pPr>
              <w:pStyle w:val="9"/>
              <w:widowControl/>
              <w:spacing w:line="360" w:lineRule="auto"/>
              <w:ind w:firstLine="0" w:firstLineChars="0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607" w:type="dxa"/>
            <w:noWrap w:val="0"/>
            <w:vAlign w:val="center"/>
          </w:tcPr>
          <w:p>
            <w:pPr>
              <w:pStyle w:val="9"/>
              <w:widowControl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莲湖校区纪委谈话室维修项目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51" w:type="dxa"/>
            <w:noWrap w:val="0"/>
            <w:vAlign w:val="center"/>
          </w:tcPr>
          <w:p>
            <w:pPr>
              <w:pStyle w:val="9"/>
              <w:widowControl/>
              <w:spacing w:line="360" w:lineRule="auto"/>
              <w:ind w:firstLine="0" w:firstLineChars="0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24"/>
                <w:highlight w:val="none"/>
              </w:rPr>
              <w:t>供应商名称</w:t>
            </w:r>
          </w:p>
        </w:tc>
        <w:tc>
          <w:tcPr>
            <w:tcW w:w="6607" w:type="dxa"/>
            <w:noWrap w:val="0"/>
            <w:vAlign w:val="center"/>
          </w:tcPr>
          <w:p>
            <w:pPr>
              <w:pStyle w:val="9"/>
              <w:widowControl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51" w:type="dxa"/>
            <w:noWrap w:val="0"/>
            <w:vAlign w:val="center"/>
          </w:tcPr>
          <w:p>
            <w:pPr>
              <w:pStyle w:val="9"/>
              <w:widowControl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eastAsia="zh-CN"/>
              </w:rPr>
              <w:t>下浮比例</w:t>
            </w:r>
          </w:p>
        </w:tc>
        <w:tc>
          <w:tcPr>
            <w:tcW w:w="6607" w:type="dxa"/>
            <w:noWrap w:val="0"/>
            <w:vAlign w:val="center"/>
          </w:tcPr>
          <w:p>
            <w:pPr>
              <w:snapToGrid w:val="0"/>
              <w:spacing w:line="480" w:lineRule="auto"/>
              <w:ind w:firstLine="504" w:firstLineChars="200"/>
              <w:rPr>
                <w:rFonts w:ascii="宋体" w:hAnsi="宋体" w:cs="仿宋"/>
                <w:color w:val="auto"/>
                <w:spacing w:val="6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pacing w:val="6"/>
                <w:sz w:val="24"/>
                <w:highlight w:val="none"/>
              </w:rPr>
              <w:t xml:space="preserve"> </w:t>
            </w:r>
          </w:p>
          <w:p>
            <w:pPr>
              <w:snapToGrid w:val="0"/>
              <w:spacing w:line="480" w:lineRule="auto"/>
              <w:ind w:firstLine="2016" w:firstLineChars="800"/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pacing w:val="6"/>
                <w:sz w:val="24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宋体" w:hAnsi="宋体" w:cs="仿宋"/>
                <w:color w:val="auto"/>
                <w:spacing w:val="6"/>
                <w:sz w:val="24"/>
                <w:highlight w:val="none"/>
                <w:lang w:val="en-US" w:eastAsia="zh-CN"/>
              </w:rPr>
              <w:t>%</w:t>
            </w:r>
          </w:p>
        </w:tc>
      </w:tr>
    </w:tbl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jc w:val="left"/>
        <w:rPr>
          <w:rFonts w:hint="eastAsia" w:ascii="宋体" w:hAnsi="宋体" w:eastAsia="宋体" w:cs="Calibri"/>
          <w:b/>
          <w:color w:val="auto"/>
          <w:kern w:val="2"/>
          <w:sz w:val="24"/>
          <w:szCs w:val="18"/>
          <w:highlight w:val="none"/>
          <w:lang w:val="en-US" w:eastAsia="zh-CN" w:bidi="ar-SA"/>
        </w:rPr>
      </w:pP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jc w:val="left"/>
        <w:rPr>
          <w:rFonts w:hint="eastAsia" w:ascii="宋体" w:hAnsi="宋体" w:eastAsia="宋体" w:cs="Calibri"/>
          <w:b/>
          <w:color w:val="auto"/>
          <w:kern w:val="2"/>
          <w:sz w:val="24"/>
          <w:szCs w:val="18"/>
          <w:highlight w:val="none"/>
          <w:lang w:val="en-US" w:eastAsia="zh-CN" w:bidi="ar-SA"/>
        </w:rPr>
      </w:pPr>
      <w:r>
        <w:rPr>
          <w:rFonts w:hint="eastAsia" w:ascii="宋体" w:hAnsi="宋体" w:eastAsia="宋体" w:cs="Calibri"/>
          <w:b/>
          <w:color w:val="auto"/>
          <w:kern w:val="2"/>
          <w:sz w:val="24"/>
          <w:szCs w:val="18"/>
          <w:highlight w:val="none"/>
          <w:lang w:val="en-US" w:eastAsia="zh-CN" w:bidi="ar-SA"/>
        </w:rPr>
        <w:t>备注：</w:t>
      </w: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ind w:firstLine="482" w:firstLineChars="200"/>
        <w:jc w:val="left"/>
        <w:rPr>
          <w:rFonts w:hint="default" w:ascii="宋体" w:hAnsi="宋体" w:eastAsia="宋体" w:cs="Calibri"/>
          <w:b/>
          <w:color w:val="auto"/>
          <w:kern w:val="2"/>
          <w:sz w:val="24"/>
          <w:szCs w:val="18"/>
          <w:highlight w:val="none"/>
          <w:lang w:val="en-US" w:eastAsia="zh-CN" w:bidi="ar-SA"/>
        </w:rPr>
      </w:pPr>
      <w:r>
        <w:rPr>
          <w:rFonts w:hint="eastAsia" w:ascii="宋体" w:hAnsi="宋体" w:cs="Calibri"/>
          <w:b/>
          <w:color w:val="auto"/>
          <w:kern w:val="2"/>
          <w:sz w:val="24"/>
          <w:szCs w:val="18"/>
          <w:highlight w:val="none"/>
          <w:lang w:val="en-US" w:eastAsia="zh-CN" w:bidi="ar-SA"/>
        </w:rPr>
        <w:t>该下浮比例以招标控制价的综合单价作为报价基准进行填报，结算根据实际完成工程量经发包人和承包人双方核定确认，其价格按照控制价的综合单价计算后下浮XX %，暂列金按实际发生值计取，最终以学校审计结算值为准。承包商无需另行提供投标报价工程量清单。</w:t>
      </w:r>
    </w:p>
    <w:p>
      <w:pPr>
        <w:adjustRightInd w:val="0"/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</w:p>
    <w:p>
      <w:pPr>
        <w:adjustRightInd w:val="0"/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</w:p>
    <w:p>
      <w:pPr>
        <w:adjustRightInd w:val="0"/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</w:p>
    <w:p>
      <w:pPr>
        <w:adjustRightInd w:val="0"/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</w:p>
    <w:p>
      <w:pPr>
        <w:adjustRightInd w:val="0"/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供应商名称：XXX（盖单位公章）</w:t>
      </w:r>
    </w:p>
    <w:p>
      <w:pPr>
        <w:adjustRightInd w:val="0"/>
        <w:spacing w:line="480" w:lineRule="auto"/>
        <w:ind w:firstLine="480" w:firstLineChars="200"/>
        <w:jc w:val="left"/>
        <w:rPr>
          <w:rFonts w:hint="eastAsia" w:ascii="宋体" w:hAnsi="宋体"/>
          <w:bCs/>
          <w:color w:val="auto"/>
          <w:sz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highlight w:val="none"/>
        </w:rPr>
        <w:t>法定代表人或授权代表（签字或盖章）：XXX</w:t>
      </w: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480" w:lineRule="auto"/>
        <w:ind w:firstLine="480" w:firstLineChars="200"/>
        <w:jc w:val="left"/>
        <w:rPr>
          <w:rFonts w:hint="eastAsia" w:ascii="宋体" w:hAnsi="宋体"/>
          <w:bCs/>
          <w:color w:val="auto"/>
          <w:sz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highlight w:val="none"/>
        </w:rPr>
        <w:t>日  期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bCs/>
          <w:color w:val="auto"/>
          <w:sz w:val="24"/>
          <w:highlight w:val="none"/>
        </w:rPr>
        <w:t>XXX年XXX月XXX日</w:t>
      </w:r>
    </w:p>
    <w:p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OTE0NDdjNmU4ZWU0YWNmN2M0MzE5NDY3ZjgzYmYifQ=="/>
  </w:docVars>
  <w:rsids>
    <w:rsidRoot w:val="06AE1774"/>
    <w:rsid w:val="00050BFA"/>
    <w:rsid w:val="005173AE"/>
    <w:rsid w:val="005C02AF"/>
    <w:rsid w:val="00A620A7"/>
    <w:rsid w:val="00A64C26"/>
    <w:rsid w:val="00C1782F"/>
    <w:rsid w:val="00EB306D"/>
    <w:rsid w:val="00F71448"/>
    <w:rsid w:val="01EC2B89"/>
    <w:rsid w:val="042654F6"/>
    <w:rsid w:val="06AE1774"/>
    <w:rsid w:val="06B24960"/>
    <w:rsid w:val="07322CEA"/>
    <w:rsid w:val="08092667"/>
    <w:rsid w:val="08D870ED"/>
    <w:rsid w:val="0EEE1F22"/>
    <w:rsid w:val="10907011"/>
    <w:rsid w:val="135414DB"/>
    <w:rsid w:val="135B5134"/>
    <w:rsid w:val="151850CD"/>
    <w:rsid w:val="15994443"/>
    <w:rsid w:val="16D36200"/>
    <w:rsid w:val="1D12671C"/>
    <w:rsid w:val="1D953A19"/>
    <w:rsid w:val="26316F88"/>
    <w:rsid w:val="264A5E7A"/>
    <w:rsid w:val="278B2E99"/>
    <w:rsid w:val="28B42D5C"/>
    <w:rsid w:val="28EA4C09"/>
    <w:rsid w:val="2D2F69A9"/>
    <w:rsid w:val="2D71058F"/>
    <w:rsid w:val="2EE16338"/>
    <w:rsid w:val="30E2554C"/>
    <w:rsid w:val="321D0A5D"/>
    <w:rsid w:val="327747BE"/>
    <w:rsid w:val="32D8010C"/>
    <w:rsid w:val="33DD48A3"/>
    <w:rsid w:val="35FB4883"/>
    <w:rsid w:val="36465820"/>
    <w:rsid w:val="37D34928"/>
    <w:rsid w:val="37DC3ECC"/>
    <w:rsid w:val="3B03335D"/>
    <w:rsid w:val="3F60330F"/>
    <w:rsid w:val="40F92C1F"/>
    <w:rsid w:val="421B2968"/>
    <w:rsid w:val="42772FBA"/>
    <w:rsid w:val="45601A4D"/>
    <w:rsid w:val="49251887"/>
    <w:rsid w:val="4D0F02B1"/>
    <w:rsid w:val="51FC47D1"/>
    <w:rsid w:val="54D65083"/>
    <w:rsid w:val="57456270"/>
    <w:rsid w:val="58D12DE7"/>
    <w:rsid w:val="5D773C8F"/>
    <w:rsid w:val="5D783802"/>
    <w:rsid w:val="5DFD112E"/>
    <w:rsid w:val="5EF44326"/>
    <w:rsid w:val="64CC3F5A"/>
    <w:rsid w:val="69785B58"/>
    <w:rsid w:val="7048573A"/>
    <w:rsid w:val="705F37F1"/>
    <w:rsid w:val="71840400"/>
    <w:rsid w:val="72255A30"/>
    <w:rsid w:val="758234E0"/>
    <w:rsid w:val="7BD94E3C"/>
    <w:rsid w:val="7CC22F6E"/>
    <w:rsid w:val="7F8A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1372</Words>
  <Characters>1508</Characters>
  <Lines>12</Lines>
  <Paragraphs>3</Paragraphs>
  <TotalTime>1</TotalTime>
  <ScaleCrop>false</ScaleCrop>
  <LinksUpToDate>false</LinksUpToDate>
  <CharactersWithSpaces>1699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2020-05-07T01:37:00Z</dcterms:created>
  <dc:creator>王文奇</dc:creator>
  <cp:lastModifiedBy>小城小事0</cp:lastModifiedBy>
  <cp:lastPrinted>2022-07-12T03:00:00Z</cp:lastPrinted>
  <dcterms:modified xsi:type="dcterms:W3CDTF">2022-07-13T02:55:01Z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59304B8BB3294F1095EFE62CCC79A6F0</vt:lpwstr>
  </property>
</Properties>
</file>