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1" w:firstLineChars="3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四川文理学院图书信息大楼部分修补工程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项目采购比选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文件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四川文理学院图书信息大楼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一楼内庭、三楼平台等需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修补，面向社会公开采购比选承包商。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具体要求见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四川文理学院图书信息大楼部分修补工程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二、比选文件要求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技术标内容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公司负责人（或法定代表人）身份证明文件；是委托的应有公司负责人（或法定代表人）的委托书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公司营业执照等相关资质文件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保修期限1年（承诺书）。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四川文理学院图书信息大楼部分修补工程项目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清单定额进行报价，结算时按照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中标合同价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进行结算。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份，副本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、比选文件递交时间及地点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比选文件递交截止时间：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比选时间：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比选地点：</w:t>
      </w:r>
      <w:r>
        <w:rPr>
          <w:rFonts w:hint="eastAsia" w:ascii="仿宋" w:hAnsi="仿宋" w:eastAsia="仿宋" w:cs="仿宋"/>
          <w:sz w:val="32"/>
          <w:szCs w:val="32"/>
        </w:rPr>
        <w:t>四川文理学院莲湖校区望月楼会议室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如有调整另行通知。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比选办法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各意向承包商的报价，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经评审后的最低价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为中标承包商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最低价一致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意向承包商</w:t>
      </w:r>
      <w:r>
        <w:rPr>
          <w:rFonts w:hint="eastAsia" w:ascii="仿宋" w:hAnsi="仿宋" w:eastAsia="仿宋" w:cs="仿宋"/>
          <w:sz w:val="32"/>
          <w:szCs w:val="32"/>
        </w:rPr>
        <w:t>需现场进行抽签确定；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如只有一家意向承包商参与竞标，则通过现场谈价方式确定项目金额；如只有两家意向承包商参与竞标，仍采用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经评审最低价中标办法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确定中标承包商。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询问和质疑联系方式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二〇二二年三月三十日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ind w:left="0" w:leftChars="0" w:firstLine="3080" w:firstLineChars="7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3080" w:firstLineChars="7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3080" w:firstLineChars="7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3080" w:firstLineChars="7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ind w:left="0" w:leftChars="0" w:firstLine="3080" w:firstLineChars="7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总 说 明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工程名称：四川文理学院图书信息大楼部分修补工程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1.工程概况：位置：四川文理学院莲湖校区图书信息大楼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需求：按清单计划设计施工。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其他需要说明的问题：因现场观察决定，本项目由于项目不单一，详见各项清单描述。</w:t>
      </w: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236"/>
        <w:gridCol w:w="1416"/>
        <w:gridCol w:w="1134"/>
        <w:gridCol w:w="1698"/>
        <w:gridCol w:w="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单项工程招标控制价/投标报价汇总表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四川文理学院图书信息大楼部分修补工程\单项工程1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单位工程名称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安全文明施工费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建筑与装饰工程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　　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514"/>
        <w:gridCol w:w="4770"/>
        <w:gridCol w:w="1259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单位工程招标控制价/投标报价汇总表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(适用于简易计税方法)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四川文理学院图书信息大楼部分修补工程\单项工程1【建筑与装饰工程】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汇总内容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 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其中:暂估价(元)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分部分项及单价措施项目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总价措施项目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1756.55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其中：安全文明施工费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其中：暂列金额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其中：专业工程暂估价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其中：计日工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其中：总承包服务费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创优质工程奖补偿奖励费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税前不含税工程造价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其中：除税甲供材料（设备）费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销项增值税额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附加税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招标控制价/投标报价总价合计=税前不含税工程造价+销项增值税额+附加税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58"/>
        <w:gridCol w:w="858"/>
        <w:gridCol w:w="657"/>
        <w:gridCol w:w="1725"/>
        <w:gridCol w:w="538"/>
        <w:gridCol w:w="727"/>
        <w:gridCol w:w="481"/>
        <w:gridCol w:w="438"/>
        <w:gridCol w:w="503"/>
        <w:gridCol w:w="503"/>
        <w:gridCol w:w="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分部分项工程清单与计价表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四川文理学院图书信息大楼部分修补工程\单项工程1【建筑与装饰工程】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项目编码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定额人工费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定额机械费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010101003001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1.土壤类别 ：二类土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2.挖土深度 ：大约80cm-90cm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3.弃土运距：小于5m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010401003002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实心砖墙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1.砖品种、规格、强度等级 ：24砖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2.墙体类型 ：单砖墙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3.砂浆强度等级、配合比：砖墙 混合砂浆（细砂） M5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011201001003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1.墙面一般抹灰、水泥砂浆、特细砂、普通外墙面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011101003014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透水混凝土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1.彩色透水混凝土c203.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2.厚度50mm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3.含材料二次转运费用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4.含人材机等综合费用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010902001005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屋面卷材防水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1.清理、清扫表层，达到施工标准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2.15mm厚1：2.5水泥砂浆（特细砂）找平层，刷基层处理剂一道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3.特殊部位，使用自粘性密封胶带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4.3厚SBS改性沥青卷材防水卷材两道，胶粘剂二道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5.嵌缝材料种类:SBS改性沥青嵌缝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6.其它：满足相关规范要求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7.含人材机等综合费用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010401005006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轻质隔墙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1.按照要求规范安全施工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2.板厚8cm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3.材质：石膏水泥空心板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4.含人材机等综合费用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010801001007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1.按照要求规范安全施工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2.特制木门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3.含安装和人材机等综合费用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樘|m2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自编008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树木移栽恢复人工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1.人工挖树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010902004014015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1.材料pvc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2.规格：直径10cm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011406001014012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1.基层类型：墙面一般抹灰面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2.腻子种类：石膏粉腻子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3.刮腻子要求：清理基层，修补，砂纸打磨；满刮腻子一遍，找补两遍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4.油漆品种、刷漆遍数：乳胶漆底漆一遍，面漆两遍，材料符合环保要求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5.含人工、材料、机械等费用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010404001011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1.基础混凝土垫层(特细砂) C15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2.厚度：10cm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自编012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修复下水检查井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1.原样恢复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2.砖混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自编013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青石砖恢复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1.恢复原样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1.材质规格：石膏板吊顶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2.木材、石膏面 乳胶漆底漆一遍 面漆两遍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天棚吊顶 天棚基层 木工板 平面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3.含人材机等综合费用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030408001014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2.5平方电线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1.按照要求规范安全施工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2.规格：照明线路采用2.5平方铜芯国标电线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3.含人材机等综合费用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03041200114014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1.规格：led平板灯600*600mm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2.含人材机等综合费用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1.名称:单控开关明装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2.型号: 按要求施工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3.安装方式:距地1.2米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4.含人材机等综合费用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numPr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D23F1"/>
    <w:multiLevelType w:val="singleLevel"/>
    <w:tmpl w:val="20DD23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5173AE"/>
    <w:rsid w:val="005C02AF"/>
    <w:rsid w:val="008944C4"/>
    <w:rsid w:val="00A620A7"/>
    <w:rsid w:val="00A64C26"/>
    <w:rsid w:val="00C1782F"/>
    <w:rsid w:val="00EB306D"/>
    <w:rsid w:val="00F71448"/>
    <w:rsid w:val="01EC2B89"/>
    <w:rsid w:val="06AE1774"/>
    <w:rsid w:val="06B24960"/>
    <w:rsid w:val="08092667"/>
    <w:rsid w:val="0B763A76"/>
    <w:rsid w:val="0BDD16EB"/>
    <w:rsid w:val="0DCD76CA"/>
    <w:rsid w:val="0EEE1F22"/>
    <w:rsid w:val="10907011"/>
    <w:rsid w:val="114E421F"/>
    <w:rsid w:val="120D1AF3"/>
    <w:rsid w:val="135414DB"/>
    <w:rsid w:val="15994443"/>
    <w:rsid w:val="189776A0"/>
    <w:rsid w:val="1A2C2A00"/>
    <w:rsid w:val="1D243EC6"/>
    <w:rsid w:val="1D822302"/>
    <w:rsid w:val="1DD15AFE"/>
    <w:rsid w:val="22045989"/>
    <w:rsid w:val="241A04B1"/>
    <w:rsid w:val="2616731E"/>
    <w:rsid w:val="27574F8A"/>
    <w:rsid w:val="278B2E99"/>
    <w:rsid w:val="284A6158"/>
    <w:rsid w:val="2C281876"/>
    <w:rsid w:val="2CB726CC"/>
    <w:rsid w:val="2EE16338"/>
    <w:rsid w:val="2EF15DBF"/>
    <w:rsid w:val="32D8010C"/>
    <w:rsid w:val="33DD48A3"/>
    <w:rsid w:val="35C459B3"/>
    <w:rsid w:val="35FB4883"/>
    <w:rsid w:val="37D34928"/>
    <w:rsid w:val="38DB7A67"/>
    <w:rsid w:val="3A0D16CE"/>
    <w:rsid w:val="3F60330F"/>
    <w:rsid w:val="40C4014C"/>
    <w:rsid w:val="40E17C7D"/>
    <w:rsid w:val="40F92C1F"/>
    <w:rsid w:val="421B2968"/>
    <w:rsid w:val="42772FBA"/>
    <w:rsid w:val="443366F1"/>
    <w:rsid w:val="46340DAE"/>
    <w:rsid w:val="49251887"/>
    <w:rsid w:val="4D0F02B1"/>
    <w:rsid w:val="4D3121D0"/>
    <w:rsid w:val="4E123CBC"/>
    <w:rsid w:val="52A573C2"/>
    <w:rsid w:val="53996712"/>
    <w:rsid w:val="54D65083"/>
    <w:rsid w:val="54E3268A"/>
    <w:rsid w:val="55817E02"/>
    <w:rsid w:val="5A9F5CBA"/>
    <w:rsid w:val="5D7D5B10"/>
    <w:rsid w:val="5EF44326"/>
    <w:rsid w:val="60CF36F6"/>
    <w:rsid w:val="6426612A"/>
    <w:rsid w:val="64685317"/>
    <w:rsid w:val="652804C0"/>
    <w:rsid w:val="659003E5"/>
    <w:rsid w:val="66961B59"/>
    <w:rsid w:val="688D0DCB"/>
    <w:rsid w:val="69FE6363"/>
    <w:rsid w:val="6FFF49E7"/>
    <w:rsid w:val="705F37F1"/>
    <w:rsid w:val="72255A30"/>
    <w:rsid w:val="758234E0"/>
    <w:rsid w:val="75C92B48"/>
    <w:rsid w:val="795F2964"/>
    <w:rsid w:val="7B183966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1113</Words>
  <Characters>1247</Characters>
  <Lines>12</Lines>
  <Paragraphs>3</Paragraphs>
  <TotalTime>6</TotalTime>
  <ScaleCrop>false</ScaleCrop>
  <LinksUpToDate>false</LinksUpToDate>
  <CharactersWithSpaces>1342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 芸芸</cp:lastModifiedBy>
  <cp:lastPrinted>2022-03-30T07:03:00Z</cp:lastPrinted>
  <dcterms:modified xsi:type="dcterms:W3CDTF">2022-03-30T08:52:17Z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4C73FDD3C49A4F9BB30597189ACCC91C</vt:lpwstr>
  </property>
</Properties>
</file>