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体育学院、数学学院部分教室维修项目采购比选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因教学及工作的需要，经学校领导同意，决定对田径场教师休息室、博文楼404、405、509教室进行改造维修，现面向社会公开采购比选承包</w:t>
      </w:r>
      <w:r>
        <w:rPr>
          <w:rFonts w:hint="eastAsia" w:ascii="仿宋" w:hAnsi="仿宋" w:eastAsia="仿宋" w:cs="仿宋"/>
          <w:sz w:val="28"/>
          <w:szCs w:val="28"/>
        </w:rPr>
        <w:t>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对田径场教师休息室、博文楼404、405、509教室进行改造维修</w:t>
      </w:r>
      <w:r>
        <w:rPr>
          <w:rFonts w:hint="eastAsia" w:ascii="仿宋" w:hAnsi="仿宋" w:eastAsia="仿宋" w:cs="仿宋"/>
          <w:sz w:val="28"/>
          <w:szCs w:val="28"/>
        </w:rPr>
        <w:t>。（具体要求见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体育学院、数学学院部分教室维修项目</w:t>
      </w:r>
      <w:r>
        <w:rPr>
          <w:rFonts w:hint="eastAsia" w:ascii="仿宋" w:hAnsi="仿宋" w:eastAsia="仿宋" w:cs="仿宋"/>
          <w:sz w:val="28"/>
          <w:szCs w:val="28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（2）公司营业执照等相关资质文件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（3）保修期限1年（承诺书）。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体育学院、数学学院部分教室维修项目</w:t>
      </w:r>
      <w:r>
        <w:rPr>
          <w:rFonts w:hint="eastAsia" w:ascii="仿宋" w:hAnsi="仿宋" w:eastAsia="仿宋" w:cs="仿宋"/>
          <w:sz w:val="28"/>
          <w:szCs w:val="28"/>
        </w:rPr>
        <w:t>报下浮比例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结算时按照实际结算总价的下浮比例进行结算。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份），密封在一个文件包内，在密封包的密封处加盖公司鲜章或由法定代表人或委托代理人签字。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四、比选文件递交时间及地点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1、比选文件递交截止时间：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10:00时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、比选时间：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10:00时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五、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采购单位</w:t>
      </w:r>
      <w:r>
        <w:rPr>
          <w:rFonts w:hint="eastAsia" w:ascii="仿宋" w:hAnsi="仿宋" w:eastAsia="仿宋" w:cs="仿宋"/>
          <w:sz w:val="28"/>
          <w:szCs w:val="28"/>
        </w:rPr>
        <w:t>将依据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各意向承包商第一轮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28"/>
          <w:szCs w:val="28"/>
        </w:rPr>
        <w:t>确定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中标承包商</w:t>
      </w:r>
      <w:r>
        <w:rPr>
          <w:rFonts w:hint="eastAsia" w:ascii="仿宋" w:hAnsi="仿宋" w:eastAsia="仿宋" w:cs="仿宋"/>
          <w:sz w:val="28"/>
          <w:szCs w:val="28"/>
        </w:rPr>
        <w:t>，下浮比例一致的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投标方</w:t>
      </w:r>
      <w:r>
        <w:rPr>
          <w:rFonts w:hint="eastAsia" w:ascii="仿宋" w:hAnsi="仿宋" w:eastAsia="仿宋" w:cs="仿宋"/>
          <w:sz w:val="28"/>
          <w:szCs w:val="28"/>
        </w:rPr>
        <w:t>需现场进行抽签确定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中标承包</w:t>
      </w:r>
      <w:r>
        <w:rPr>
          <w:rFonts w:hint="eastAsia" w:ascii="仿宋" w:hAnsi="仿宋" w:eastAsia="仿宋" w:cs="仿宋"/>
          <w:sz w:val="28"/>
          <w:szCs w:val="28"/>
        </w:rPr>
        <w:t>商；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如只有一家意向承包商参与竞标，则通过现场谈价方式确定项目金额；如只有两家意向承包商参与竞标，仍采用第一轮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下浮比例最高者确定中标承包商。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舒老师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0818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-2830667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320" w:firstLineChars="19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二〇二一年五月十七日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体育学院、数学学院部分教室维修项目工程清单报价表</w:t>
      </w:r>
    </w:p>
    <w:p>
      <w:pPr>
        <w:pStyle w:val="2"/>
        <w:ind w:firstLine="480"/>
        <w:rPr>
          <w:rFonts w:hint="eastAsia" w:ascii="仿宋" w:hAnsi="仿宋" w:eastAsia="仿宋" w:cs="仿宋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80"/>
        <w:gridCol w:w="462"/>
        <w:gridCol w:w="458"/>
        <w:gridCol w:w="741"/>
        <w:gridCol w:w="998"/>
        <w:gridCol w:w="1056"/>
        <w:gridCol w:w="2184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位置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金额（元）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440" w:lineRule="exact"/>
              <w:ind w:firstLine="426" w:firstLineChars="202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项目特征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博文楼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窗洞填充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2.16 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259.20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1.砖品种、规格、强度等级:GRC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光面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空心轻质隔墙板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100mm厚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.勾缝要求:勾缝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20mm厚水泥砂浆抹灰层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4.原墙连接处需作金属构件加固处理，防止抹灰层开裂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仅509门窗洞口进行填充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乳胶漆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244 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6588.00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1.基层类型：墙面一般抹灰面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2.腻子种类：石膏粉腻子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3.刮腻子要求：清理基层，修补，砂纸打磨；满刮腻子一遍，找补两遍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eastAsia="zh-CN" w:bidi="ar"/>
              </w:rPr>
              <w:t>4.油漆品种、刷漆遍数：乳胶漆底漆一遍，面漆两遍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404、405、509均进行乳胶漆粉刷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T8 LED灯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200.00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1.T8 灯架16W LED灯管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仅509更换灯具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田径场教师休息室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地面处理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1.44 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864.00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1.机械拆除原水泥地面，厚度10cm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2.10cm厚C20细石混凝土路面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窗洞拆除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500.00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1.拆除一处门窗，进行局部修补并将窗洞改造成标准尺寸门洞，门洞上口设置过梁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一般防盗门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扇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1500.00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1.标准尺寸一般防盗门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2.含运输、材料、安装等费用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乳胶漆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80.98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2186.46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  <w:t>1.基层类型：墙面一般抹灰面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  <w:t>2.腻子种类：石膏粉腻子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  <w:t>3.刮腻子要求：清理基层，修补，砂纸打磨；满刮腻子一遍，找补两遍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zh-CN" w:bidi="ar"/>
              </w:rPr>
              <w:t>4.油漆品种、刷漆遍数：乳胶漆底漆一遍，面漆两遍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5.含人工、材料、机械等费用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琉璃瓦剔除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400.00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1剔除原屋顶层女儿墙一圈瓦面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en-US" w:bidi="ar"/>
              </w:rPr>
              <w:t>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卷材防水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szCs w:val="21"/>
              </w:rPr>
              <w:t>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11970.00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.拆除、清理表层，达到施工标准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.15mm厚1：2.5水泥砂浆（特细砂）找平层，刷基层处理剂一道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.特殊部位，使用自粘性密封胶带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.3厚SBS改性沥青卷材防水卷材两道，胶粘剂二道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嵌缝材料种类:SBS改性沥青嵌缝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.其它：满足相关规范要求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钢架彩钢瓦雨篷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1000.00 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1.利用原有钢架雨篷改造成彩钢瓦雨篷，以达到使用方要求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2.含人工、材料、机械等费用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清洁清运费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800.00 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1.负责以上施工场地的日常保洁，及交付使用前的整体清洁、恢复原貌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2.负责以上施工现场产生的建筑垃圾，需运出校外自行处理，处理办法需满足地方环保部门规定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暂列金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3000.00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3000.00 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1.用于本项目不可预估或其他原因导致的费用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税前造价</w:t>
            </w:r>
          </w:p>
        </w:tc>
        <w:tc>
          <w:tcPr>
            <w:tcW w:w="3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29767.66元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</w:p>
        </w:tc>
        <w:tc>
          <w:tcPr>
            <w:tcW w:w="3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2679.09元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%计取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97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32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32446.75元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完成该项目的所有费用。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结算总价</w:t>
            </w:r>
            <w:r>
              <w:rPr>
                <w:rFonts w:hint="eastAsia" w:ascii="宋体" w:hAnsi="宋体" w:cs="宋体"/>
                <w:szCs w:val="21"/>
              </w:rPr>
              <w:t>下浮比例</w:t>
            </w:r>
          </w:p>
        </w:tc>
        <w:tc>
          <w:tcPr>
            <w:tcW w:w="6787" w:type="dxa"/>
            <w:gridSpan w:val="7"/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%（签字和盖章：             ）</w:t>
            </w:r>
          </w:p>
        </w:tc>
      </w:tr>
    </w:tbl>
    <w:p>
      <w:pPr>
        <w:pStyle w:val="2"/>
        <w:ind w:firstLine="480"/>
        <w:rPr>
          <w:rFonts w:hint="eastAsia" w:ascii="仿宋" w:hAnsi="仿宋" w:eastAsia="仿宋" w:cs="仿宋"/>
          <w:lang w:eastAsia="zh-CN"/>
        </w:rPr>
      </w:pPr>
    </w:p>
    <w:p>
      <w:pPr>
        <w:spacing w:line="640" w:lineRule="exact"/>
        <w:rPr>
          <w:rFonts w:hint="eastAsia" w:ascii="仿宋" w:hAnsi="仿宋" w:eastAsia="仿宋" w:cs="仿宋"/>
          <w:color w:val="FF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4657D24"/>
    <w:rsid w:val="06AE1774"/>
    <w:rsid w:val="06B24960"/>
    <w:rsid w:val="08092667"/>
    <w:rsid w:val="0EEE1F22"/>
    <w:rsid w:val="10907011"/>
    <w:rsid w:val="135414DB"/>
    <w:rsid w:val="15994443"/>
    <w:rsid w:val="16D36200"/>
    <w:rsid w:val="16F661B2"/>
    <w:rsid w:val="19663E1C"/>
    <w:rsid w:val="1D12671C"/>
    <w:rsid w:val="1D953A19"/>
    <w:rsid w:val="26316F88"/>
    <w:rsid w:val="278B2E99"/>
    <w:rsid w:val="28B42D5C"/>
    <w:rsid w:val="28EA4C09"/>
    <w:rsid w:val="2EE16338"/>
    <w:rsid w:val="32D8010C"/>
    <w:rsid w:val="33927EA2"/>
    <w:rsid w:val="33DD48A3"/>
    <w:rsid w:val="35FB4883"/>
    <w:rsid w:val="37D34928"/>
    <w:rsid w:val="37DC3ECC"/>
    <w:rsid w:val="3F60330F"/>
    <w:rsid w:val="40F92C1F"/>
    <w:rsid w:val="421B2968"/>
    <w:rsid w:val="42772FBA"/>
    <w:rsid w:val="49251887"/>
    <w:rsid w:val="4D0F02B1"/>
    <w:rsid w:val="4EB17DCF"/>
    <w:rsid w:val="54D65083"/>
    <w:rsid w:val="57456270"/>
    <w:rsid w:val="5D783802"/>
    <w:rsid w:val="5EF44326"/>
    <w:rsid w:val="64CC3F5A"/>
    <w:rsid w:val="652F7C9A"/>
    <w:rsid w:val="7048573A"/>
    <w:rsid w:val="705F37F1"/>
    <w:rsid w:val="72255A30"/>
    <w:rsid w:val="758234E0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261</Words>
  <Characters>1494</Characters>
  <Lines>12</Lines>
  <Paragraphs>3</Paragraphs>
  <TotalTime>12</TotalTime>
  <ScaleCrop>false</ScaleCrop>
  <LinksUpToDate>false</LinksUpToDate>
  <CharactersWithSpaces>1752</CharactersWithSpaces>
  <Application>WPS Office_11.1.0.10064_F1E327BC-269C-435d-A152-05C5408002CA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 芸芸</cp:lastModifiedBy>
  <cp:lastPrinted>2021-04-02T01:13:00Z</cp:lastPrinted>
  <dcterms:modified xsi:type="dcterms:W3CDTF">2021-05-14T08:17:10Z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2052-11.1.0.10064</vt:lpwstr>
  </property>
  <property fmtid="{D5CDD505-2E9C-101B-9397-08002B2CF9AE}" pid="3" name="ICV">
    <vt:lpwstr>729532CD672E48529D8EAE996E02A07C</vt:lpwstr>
  </property>
</Properties>
</file>