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8" w:rsidRDefault="0071200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1200D">
        <w:rPr>
          <w:rFonts w:ascii="仿宋" w:eastAsia="仿宋" w:hAnsi="仿宋" w:cs="仿宋" w:hint="eastAsia"/>
          <w:b/>
          <w:bCs/>
          <w:sz w:val="32"/>
          <w:szCs w:val="32"/>
        </w:rPr>
        <w:t>莲湖校区图书馆密集库房整修项目</w:t>
      </w:r>
      <w:r w:rsidR="005D376D">
        <w:rPr>
          <w:rFonts w:ascii="仿宋" w:eastAsia="仿宋" w:hAnsi="仿宋" w:cs="仿宋" w:hint="eastAsia"/>
          <w:b/>
          <w:bCs/>
          <w:sz w:val="32"/>
          <w:szCs w:val="32"/>
        </w:rPr>
        <w:t>采购比选文件</w:t>
      </w:r>
    </w:p>
    <w:p w:rsidR="00601FD8" w:rsidRDefault="0071200D" w:rsidP="007120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1200D">
        <w:rPr>
          <w:rFonts w:ascii="仿宋" w:eastAsia="仿宋" w:hAnsi="仿宋" w:cs="仿宋" w:hint="eastAsia"/>
          <w:sz w:val="32"/>
          <w:szCs w:val="32"/>
        </w:rPr>
        <w:t>我校拟对莲湖校区图书馆密集库房进行整修，现面向社会公开采购维修供应商</w:t>
      </w:r>
      <w:r w:rsidR="005D376D">
        <w:rPr>
          <w:rFonts w:ascii="仿宋" w:eastAsia="仿宋" w:hAnsi="仿宋" w:cs="仿宋" w:hint="eastAsia"/>
          <w:sz w:val="32"/>
          <w:szCs w:val="32"/>
        </w:rPr>
        <w:t>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一、基本要求</w:t>
      </w:r>
    </w:p>
    <w:p w:rsidR="00601FD8" w:rsidRDefault="0071200D" w:rsidP="0071200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1200D">
        <w:rPr>
          <w:rFonts w:ascii="仿宋" w:eastAsia="仿宋" w:hAnsi="仿宋" w:cs="仿宋" w:hint="eastAsia"/>
          <w:sz w:val="32"/>
          <w:szCs w:val="32"/>
        </w:rPr>
        <w:t>对莲湖校区图书馆密集库房进行整修</w:t>
      </w:r>
      <w:r w:rsidR="005D376D">
        <w:rPr>
          <w:rFonts w:ascii="仿宋" w:eastAsia="仿宋" w:hAnsi="仿宋" w:cs="仿宋" w:hint="eastAsia"/>
          <w:sz w:val="32"/>
          <w:szCs w:val="32"/>
        </w:rPr>
        <w:t>。（具体要求见</w:t>
      </w:r>
      <w:r w:rsidRPr="0071200D">
        <w:rPr>
          <w:rFonts w:ascii="仿宋" w:eastAsia="仿宋" w:hAnsi="仿宋" w:cs="仿宋" w:hint="eastAsia"/>
          <w:sz w:val="32"/>
          <w:szCs w:val="32"/>
        </w:rPr>
        <w:t>莲湖校区图书馆密集库房整修</w:t>
      </w:r>
      <w:r w:rsidR="005D376D">
        <w:rPr>
          <w:rFonts w:ascii="仿宋" w:eastAsia="仿宋" w:hAnsi="仿宋" w:cs="仿宋" w:hint="eastAsia"/>
          <w:sz w:val="32"/>
          <w:szCs w:val="32"/>
        </w:rPr>
        <w:t>项目工程清单报价表中项目特征）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601FD8" w:rsidRDefault="005D376D">
      <w:pPr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1、技术标内容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（1）公司负责人（或法定代表人）身份证明文件；是委托的，应有公司负责人（或法定代表人）的委托书。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（2）公司营业执照等相关资质文件。</w:t>
      </w:r>
    </w:p>
    <w:p w:rsidR="00601FD8" w:rsidRDefault="005D376D" w:rsidP="001C57C4">
      <w:pPr>
        <w:pStyle w:val="a0"/>
        <w:spacing w:line="240" w:lineRule="auto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（3）保修期限1年（承诺书）。</w:t>
      </w:r>
    </w:p>
    <w:p w:rsidR="00601FD8" w:rsidRDefault="005D376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2、经济标内容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22763C" w:rsidRPr="0022763C">
        <w:rPr>
          <w:rFonts w:ascii="仿宋" w:eastAsia="仿宋" w:hAnsi="仿宋" w:cs="仿宋" w:hint="eastAsia"/>
          <w:sz w:val="32"/>
          <w:szCs w:val="32"/>
        </w:rPr>
        <w:t>莲湖校区图书馆密集库房</w:t>
      </w:r>
      <w:r w:rsidR="0022763C">
        <w:rPr>
          <w:rFonts w:ascii="仿宋" w:eastAsia="仿宋" w:hAnsi="仿宋" w:cs="仿宋" w:hint="eastAsia"/>
          <w:sz w:val="32"/>
          <w:szCs w:val="32"/>
        </w:rPr>
        <w:t>整修</w:t>
      </w:r>
      <w:r w:rsidR="001C57C4" w:rsidRPr="001C57C4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报下浮比例，结算时按照实际结算总价的下浮比例进行结算。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</w:t>
      </w:r>
      <w:r w:rsidR="001C57C4">
        <w:rPr>
          <w:rFonts w:ascii="仿宋" w:eastAsia="仿宋" w:hAnsi="仿宋" w:cs="仿宋" w:hint="eastAsia"/>
          <w:sz w:val="32"/>
          <w:szCs w:val="32"/>
        </w:rPr>
        <w:t>叁</w:t>
      </w:r>
      <w:r>
        <w:rPr>
          <w:rFonts w:ascii="仿宋" w:eastAsia="仿宋" w:hAnsi="仿宋" w:cs="仿宋" w:hint="eastAsia"/>
          <w:sz w:val="32"/>
          <w:szCs w:val="32"/>
        </w:rPr>
        <w:t>份（其中正本壹份，副本</w:t>
      </w:r>
      <w:r w:rsidR="001C57C4">
        <w:rPr>
          <w:rFonts w:ascii="仿宋" w:eastAsia="仿宋" w:hAnsi="仿宋" w:cs="仿宋" w:hint="eastAsia"/>
          <w:sz w:val="32"/>
          <w:szCs w:val="32"/>
        </w:rPr>
        <w:t>贰</w:t>
      </w:r>
      <w:r>
        <w:rPr>
          <w:rFonts w:ascii="仿宋" w:eastAsia="仿宋" w:hAnsi="仿宋" w:cs="仿宋" w:hint="eastAsia"/>
          <w:sz w:val="32"/>
          <w:szCs w:val="32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四、比选文件递交时间及地点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1、比选文件递交截止时间：2020年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 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</w:t>
      </w:r>
      <w:r w:rsidR="0071200D">
        <w:rPr>
          <w:rFonts w:ascii="仿宋" w:eastAsia="仿宋" w:hAnsi="仿宋" w:cs="仿宋" w:hint="eastAsia"/>
          <w:sz w:val="32"/>
          <w:szCs w:val="32"/>
        </w:rPr>
        <w:t>20分</w:t>
      </w:r>
      <w:r>
        <w:rPr>
          <w:rFonts w:ascii="仿宋" w:eastAsia="仿宋" w:hAnsi="仿宋" w:cs="仿宋" w:hint="eastAsia"/>
          <w:sz w:val="32"/>
          <w:szCs w:val="32"/>
        </w:rPr>
        <w:t>前（北京时间）；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2、比选时间：2020年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</w:t>
      </w:r>
      <w:r w:rsidR="00A1234B">
        <w:rPr>
          <w:rFonts w:ascii="仿宋" w:eastAsia="仿宋" w:hAnsi="仿宋" w:cs="仿宋" w:hint="eastAsia"/>
          <w:sz w:val="32"/>
          <w:szCs w:val="32"/>
        </w:rPr>
        <w:t>20分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（北京时间）。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3、比选地点：四川文理学院莲湖校区望月楼会议室，会议室如有调整另行通知。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五、比选办法</w:t>
      </w:r>
    </w:p>
    <w:p w:rsidR="00601FD8" w:rsidRDefault="005D376D" w:rsidP="001C57C4">
      <w:pPr>
        <w:pStyle w:val="a0"/>
        <w:spacing w:line="240" w:lineRule="auto"/>
        <w:ind w:firstLine="6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六、询问和质疑联系方式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联系人：舒老师             联系电话：0818 -2830667</w:t>
      </w:r>
    </w:p>
    <w:p w:rsidR="00601FD8" w:rsidRDefault="00601FD8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5D376D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601FD8" w:rsidRDefault="005D376D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二〇二〇年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月二十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1C57C4" w:rsidRDefault="001C57C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71200D" w:rsidP="001C57C4">
      <w:pPr>
        <w:jc w:val="center"/>
        <w:rPr>
          <w:rFonts w:ascii="仿宋" w:eastAsia="仿宋" w:hAnsi="仿宋" w:cs="仿宋"/>
          <w:sz w:val="32"/>
          <w:szCs w:val="32"/>
        </w:rPr>
      </w:pPr>
      <w:r w:rsidRPr="0022763C">
        <w:rPr>
          <w:rFonts w:ascii="仿宋" w:eastAsia="仿宋" w:hAnsi="仿宋" w:cs="仿宋" w:hint="eastAsia"/>
          <w:sz w:val="32"/>
          <w:szCs w:val="32"/>
        </w:rPr>
        <w:lastRenderedPageBreak/>
        <w:t>莲湖校区图书馆密集库房整修</w:t>
      </w:r>
      <w:r w:rsidR="001C57C4" w:rsidRPr="0022763C">
        <w:rPr>
          <w:rFonts w:ascii="仿宋" w:eastAsia="仿宋" w:hAnsi="仿宋" w:cs="仿宋" w:hint="eastAsia"/>
          <w:sz w:val="32"/>
          <w:szCs w:val="32"/>
        </w:rPr>
        <w:t>项目</w:t>
      </w:r>
      <w:r w:rsidR="005D376D">
        <w:rPr>
          <w:rFonts w:ascii="仿宋" w:eastAsia="仿宋" w:hAnsi="仿宋" w:cs="仿宋" w:hint="eastAsia"/>
          <w:sz w:val="32"/>
          <w:szCs w:val="32"/>
        </w:rPr>
        <w:t>工程清单报价表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19"/>
        <w:gridCol w:w="715"/>
        <w:gridCol w:w="928"/>
        <w:gridCol w:w="1088"/>
        <w:gridCol w:w="1066"/>
        <w:gridCol w:w="2097"/>
      </w:tblGrid>
      <w:tr w:rsidR="0071200D" w:rsidRPr="0071200D" w:rsidTr="0071200D">
        <w:trPr>
          <w:trHeight w:val="90"/>
        </w:trPr>
        <w:tc>
          <w:tcPr>
            <w:tcW w:w="765" w:type="pct"/>
            <w:vAlign w:val="center"/>
          </w:tcPr>
          <w:p w:rsidR="0071200D" w:rsidRPr="0071200D" w:rsidRDefault="0071200D" w:rsidP="0071200D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位置</w:t>
            </w:r>
          </w:p>
        </w:tc>
        <w:tc>
          <w:tcPr>
            <w:tcW w:w="774" w:type="pct"/>
            <w:vAlign w:val="center"/>
          </w:tcPr>
          <w:p w:rsidR="0071200D" w:rsidRPr="0071200D" w:rsidRDefault="0071200D" w:rsidP="0071200D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39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626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232" w:type="pct"/>
            <w:vAlign w:val="center"/>
          </w:tcPr>
          <w:p w:rsidR="0071200D" w:rsidRPr="0071200D" w:rsidRDefault="0071200D" w:rsidP="0071200D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 w:rsidRPr="0071200D"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71200D" w:rsidRPr="0071200D" w:rsidTr="001B15AC">
        <w:trPr>
          <w:trHeight w:val="968"/>
        </w:trPr>
        <w:tc>
          <w:tcPr>
            <w:tcW w:w="764" w:type="pct"/>
            <w:vMerge w:val="restar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总库房</w:t>
            </w: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重度铲除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  <w:r w:rsidRPr="0071200D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75.00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10.00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750.00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对于墙面1m及以下及部分要求位置进行重度铲除，铲除原涂料表面至结构层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71200D" w:rsidRPr="0071200D" w:rsidTr="001B15AC">
        <w:trPr>
          <w:trHeight w:val="968"/>
        </w:trPr>
        <w:tc>
          <w:tcPr>
            <w:tcW w:w="764" w:type="pct"/>
            <w:vMerge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一般抹灰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  <w:r w:rsidRPr="0071200D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75.00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18.50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1387.50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1.对重度铲除部位进行重新抹灰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2.砂浆要求：20mm 厚 1：2水泥砂浆抹灰</w:t>
            </w:r>
          </w:p>
          <w:p w:rsidR="0071200D" w:rsidRPr="0071200D" w:rsidRDefault="0071200D" w:rsidP="0071200D">
            <w:pPr>
              <w:spacing w:after="120"/>
              <w:rPr>
                <w:rFonts w:cs="Times New Roman"/>
                <w:szCs w:val="24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71200D" w:rsidRPr="0071200D" w:rsidTr="001B15AC">
        <w:trPr>
          <w:trHeight w:val="968"/>
        </w:trPr>
        <w:tc>
          <w:tcPr>
            <w:tcW w:w="764" w:type="pct"/>
            <w:vMerge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涂料防水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  <w:r w:rsidRPr="0071200D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125.00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42.00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5250.00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1.材料：2mm 厚聚合物乳液(丙烯酸酯)防水涂料</w:t>
            </w:r>
          </w:p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2.位置：地面和墙面1m及以下位置及特殊要求位置</w:t>
            </w:r>
          </w:p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71200D" w:rsidRPr="0071200D" w:rsidTr="001B15AC">
        <w:trPr>
          <w:trHeight w:val="175"/>
        </w:trPr>
        <w:tc>
          <w:tcPr>
            <w:tcW w:w="764" w:type="pct"/>
            <w:vMerge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乳胶漆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  <w:r w:rsidRPr="0071200D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298.00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27.00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8046.00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1.基层类型：墙面一般抹灰面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2.腻子种类：石膏粉腻子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3.刮腻子要求：清理基层，修补，砂纸打磨；满刮腻子一遍，找补两遍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4.油漆品种、刷漆遍数：乳胶漆面漆两遍</w:t>
            </w:r>
          </w:p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</w:tr>
      <w:tr w:rsidR="0071200D" w:rsidRPr="0071200D" w:rsidTr="001B15AC">
        <w:trPr>
          <w:trHeight w:val="578"/>
        </w:trPr>
        <w:tc>
          <w:tcPr>
            <w:tcW w:w="764" w:type="pct"/>
            <w:vMerge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踢脚线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35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18.00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630.00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1.黑色10cm瓷砖块料踢脚线</w:t>
            </w:r>
          </w:p>
          <w:p w:rsidR="0071200D" w:rsidRPr="0071200D" w:rsidRDefault="0071200D" w:rsidP="0071200D">
            <w:pPr>
              <w:spacing w:after="120"/>
              <w:rPr>
                <w:rFonts w:ascii="宋体" w:hAnsi="宋体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Times New Roman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71200D" w:rsidRPr="0071200D" w:rsidTr="001B15AC">
        <w:trPr>
          <w:trHeight w:val="575"/>
        </w:trPr>
        <w:tc>
          <w:tcPr>
            <w:tcW w:w="764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小库房</w:t>
            </w:r>
          </w:p>
        </w:tc>
        <w:tc>
          <w:tcPr>
            <w:tcW w:w="772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left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乳胶漆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m</w:t>
            </w:r>
            <w:r w:rsidRPr="0071200D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123.00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27.00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3321.00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1.基层类型：墙面一般抹灰面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2.腻子种类：石膏粉腻子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3.刮腻子要求：清理基层，修补，砂纸打磨；满刮腻子一遍，找补两遍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4.油漆品种、刷漆遍数：乳胶漆面漆两遍</w:t>
            </w:r>
          </w:p>
          <w:p w:rsidR="0071200D" w:rsidRPr="0071200D" w:rsidRDefault="0071200D" w:rsidP="007120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</w:tr>
      <w:tr w:rsidR="0071200D" w:rsidRPr="0071200D" w:rsidTr="001B15AC">
        <w:trPr>
          <w:trHeight w:val="113"/>
        </w:trPr>
        <w:tc>
          <w:tcPr>
            <w:tcW w:w="1537" w:type="pct"/>
            <w:gridSpan w:val="2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proofErr w:type="gramStart"/>
            <w:r w:rsidRPr="0071200D">
              <w:rPr>
                <w:rFonts w:ascii="宋体" w:hAnsi="宋体" w:cs="宋体" w:hint="eastAsia"/>
                <w:color w:val="000000"/>
                <w:kern w:val="0"/>
                <w:lang w:bidi="ar"/>
              </w:rPr>
              <w:t>清洁清</w:t>
            </w:r>
            <w:proofErr w:type="gramEnd"/>
            <w:r w:rsidRPr="0071200D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运费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500.00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 xml:space="preserve">500.00 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rPr>
                <w:rFonts w:ascii="宋体" w:hAnsi="宋体" w:cs="Times New Roman"/>
                <w:sz w:val="15"/>
                <w:szCs w:val="15"/>
              </w:rPr>
            </w:pPr>
            <w:r w:rsidRPr="0071200D">
              <w:rPr>
                <w:rFonts w:ascii="宋体" w:hAnsi="宋体" w:cs="Times New Roman" w:hint="eastAsia"/>
                <w:sz w:val="15"/>
                <w:szCs w:val="15"/>
              </w:rPr>
              <w:t>1.恢复现场，清理</w:t>
            </w:r>
            <w:proofErr w:type="gramStart"/>
            <w:r w:rsidRPr="0071200D">
              <w:rPr>
                <w:rFonts w:ascii="宋体" w:hAnsi="宋体" w:cs="Times New Roman" w:hint="eastAsia"/>
                <w:sz w:val="15"/>
                <w:szCs w:val="15"/>
              </w:rPr>
              <w:t>清运建渣</w:t>
            </w:r>
            <w:proofErr w:type="gramEnd"/>
          </w:p>
        </w:tc>
      </w:tr>
      <w:tr w:rsidR="0071200D" w:rsidRPr="0071200D" w:rsidTr="001B15AC">
        <w:trPr>
          <w:trHeight w:val="449"/>
        </w:trPr>
        <w:tc>
          <w:tcPr>
            <w:tcW w:w="1537" w:type="pct"/>
            <w:gridSpan w:val="2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lang w:bidi="ar"/>
              </w:rPr>
              <w:t>暂列金</w:t>
            </w:r>
          </w:p>
        </w:tc>
        <w:tc>
          <w:tcPr>
            <w:tcW w:w="420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4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8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5000.00</w:t>
            </w:r>
          </w:p>
        </w:tc>
        <w:tc>
          <w:tcPr>
            <w:tcW w:w="625" w:type="pct"/>
            <w:vAlign w:val="center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5000.00</w:t>
            </w:r>
          </w:p>
        </w:tc>
        <w:tc>
          <w:tcPr>
            <w:tcW w:w="1231" w:type="pct"/>
          </w:tcPr>
          <w:p w:rsidR="0071200D" w:rsidRPr="0071200D" w:rsidRDefault="0071200D" w:rsidP="0071200D">
            <w:pPr>
              <w:rPr>
                <w:rFonts w:ascii="宋体" w:hAnsi="宋体" w:cs="Times New Roman"/>
                <w:sz w:val="15"/>
                <w:szCs w:val="15"/>
              </w:rPr>
            </w:pPr>
            <w:r w:rsidRPr="0071200D">
              <w:rPr>
                <w:rFonts w:ascii="宋体" w:hAnsi="宋体" w:cs="Times New Roman" w:hint="eastAsia"/>
                <w:sz w:val="15"/>
                <w:szCs w:val="15"/>
              </w:rPr>
              <w:t>1.用于该项目不可预估或其他因素导致的费用</w:t>
            </w:r>
          </w:p>
        </w:tc>
      </w:tr>
      <w:tr w:rsidR="0071200D" w:rsidRPr="0071200D" w:rsidTr="001B15AC">
        <w:trPr>
          <w:trHeight w:val="419"/>
        </w:trPr>
        <w:tc>
          <w:tcPr>
            <w:tcW w:w="1537" w:type="pct"/>
            <w:gridSpan w:val="2"/>
            <w:vAlign w:val="center"/>
          </w:tcPr>
          <w:p w:rsidR="0071200D" w:rsidRPr="0071200D" w:rsidRDefault="0071200D" w:rsidP="0071200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lang w:bidi="ar"/>
              </w:rPr>
              <w:t>税前造价</w:t>
            </w:r>
          </w:p>
        </w:tc>
        <w:tc>
          <w:tcPr>
            <w:tcW w:w="3800" w:type="dxa"/>
            <w:gridSpan w:val="4"/>
            <w:vAlign w:val="center"/>
          </w:tcPr>
          <w:p w:rsidR="0071200D" w:rsidRPr="0071200D" w:rsidRDefault="0071200D" w:rsidP="007120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24884.50 元</w:t>
            </w:r>
          </w:p>
        </w:tc>
        <w:tc>
          <w:tcPr>
            <w:tcW w:w="1231" w:type="pct"/>
            <w:vAlign w:val="center"/>
          </w:tcPr>
          <w:p w:rsidR="0071200D" w:rsidRPr="0071200D" w:rsidRDefault="0071200D" w:rsidP="0071200D">
            <w:pPr>
              <w:spacing w:line="480" w:lineRule="auto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71200D" w:rsidRPr="0071200D" w:rsidTr="001B15AC">
        <w:trPr>
          <w:trHeight w:val="248"/>
        </w:trPr>
        <w:tc>
          <w:tcPr>
            <w:tcW w:w="1537" w:type="pct"/>
            <w:gridSpan w:val="2"/>
            <w:vAlign w:val="center"/>
          </w:tcPr>
          <w:p w:rsidR="0071200D" w:rsidRPr="0071200D" w:rsidRDefault="0071200D" w:rsidP="0071200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lastRenderedPageBreak/>
              <w:t>税金</w:t>
            </w:r>
          </w:p>
        </w:tc>
        <w:tc>
          <w:tcPr>
            <w:tcW w:w="3800" w:type="dxa"/>
            <w:gridSpan w:val="4"/>
            <w:vAlign w:val="center"/>
          </w:tcPr>
          <w:p w:rsidR="0071200D" w:rsidRPr="0071200D" w:rsidRDefault="0071200D" w:rsidP="007120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2239.61 元</w:t>
            </w:r>
          </w:p>
        </w:tc>
        <w:tc>
          <w:tcPr>
            <w:tcW w:w="1231" w:type="pct"/>
            <w:vAlign w:val="center"/>
          </w:tcPr>
          <w:p w:rsidR="0071200D" w:rsidRPr="0071200D" w:rsidRDefault="0071200D" w:rsidP="0071200D">
            <w:pPr>
              <w:rPr>
                <w:rFonts w:ascii="宋体" w:hAnsi="宋体" w:cs="Times New Roman"/>
                <w:sz w:val="15"/>
                <w:szCs w:val="15"/>
              </w:rPr>
            </w:pPr>
            <w:r w:rsidRPr="0071200D">
              <w:rPr>
                <w:rFonts w:ascii="宋体" w:hAnsi="宋体" w:cs="Times New Roman" w:hint="eastAsia"/>
                <w:sz w:val="15"/>
                <w:szCs w:val="15"/>
              </w:rPr>
              <w:t>9%计取</w:t>
            </w:r>
          </w:p>
        </w:tc>
      </w:tr>
      <w:tr w:rsidR="0071200D" w:rsidRPr="0071200D" w:rsidTr="001B15AC">
        <w:trPr>
          <w:trHeight w:val="609"/>
        </w:trPr>
        <w:tc>
          <w:tcPr>
            <w:tcW w:w="1537" w:type="pct"/>
            <w:gridSpan w:val="2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</w:rPr>
              <w:t>合   计</w:t>
            </w:r>
          </w:p>
        </w:tc>
        <w:tc>
          <w:tcPr>
            <w:tcW w:w="3800" w:type="dxa"/>
            <w:gridSpan w:val="4"/>
            <w:vAlign w:val="center"/>
          </w:tcPr>
          <w:p w:rsidR="0071200D" w:rsidRPr="0071200D" w:rsidRDefault="0071200D" w:rsidP="007120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7120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27124.11 元</w:t>
            </w:r>
          </w:p>
        </w:tc>
        <w:tc>
          <w:tcPr>
            <w:tcW w:w="1231" w:type="pct"/>
            <w:vAlign w:val="center"/>
          </w:tcPr>
          <w:p w:rsidR="0071200D" w:rsidRPr="0071200D" w:rsidRDefault="0071200D" w:rsidP="0071200D">
            <w:pPr>
              <w:rPr>
                <w:rFonts w:ascii="宋体" w:hAnsi="宋体" w:cs="Times New Roman"/>
                <w:sz w:val="15"/>
                <w:szCs w:val="15"/>
              </w:rPr>
            </w:pPr>
            <w:r w:rsidRPr="0071200D">
              <w:rPr>
                <w:rFonts w:ascii="宋体" w:hAnsi="宋体" w:cs="Times New Roman" w:hint="eastAsia"/>
                <w:sz w:val="15"/>
                <w:szCs w:val="15"/>
              </w:rPr>
              <w:t>完成该项目的所有费用。</w:t>
            </w:r>
          </w:p>
        </w:tc>
      </w:tr>
      <w:tr w:rsidR="0071200D" w:rsidRPr="0071200D" w:rsidTr="000F60DD">
        <w:trPr>
          <w:trHeight w:val="609"/>
        </w:trPr>
        <w:tc>
          <w:tcPr>
            <w:tcW w:w="1537" w:type="pct"/>
            <w:gridSpan w:val="2"/>
          </w:tcPr>
          <w:p w:rsidR="0071200D" w:rsidRPr="0071200D" w:rsidRDefault="0071200D" w:rsidP="007120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结算总价下浮比例</w:t>
            </w:r>
          </w:p>
        </w:tc>
        <w:tc>
          <w:tcPr>
            <w:tcW w:w="5896" w:type="dxa"/>
            <w:gridSpan w:val="5"/>
            <w:vAlign w:val="center"/>
          </w:tcPr>
          <w:p w:rsidR="0071200D" w:rsidRPr="0071200D" w:rsidRDefault="0071200D" w:rsidP="0071200D">
            <w:pPr>
              <w:ind w:firstLineChars="1200" w:firstLine="2520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%（签字和盖章：             ）</w:t>
            </w:r>
          </w:p>
        </w:tc>
      </w:tr>
    </w:tbl>
    <w:p w:rsidR="0071200D" w:rsidRPr="0071200D" w:rsidRDefault="0071200D" w:rsidP="0071200D">
      <w:pPr>
        <w:pStyle w:val="a0"/>
        <w:ind w:firstLineChars="0" w:firstLine="0"/>
        <w:rPr>
          <w:lang w:eastAsia="zh-CN"/>
        </w:rPr>
      </w:pPr>
    </w:p>
    <w:sectPr w:rsidR="0071200D" w:rsidRPr="0071200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5F" w:rsidRDefault="006A495F">
      <w:r>
        <w:separator/>
      </w:r>
    </w:p>
  </w:endnote>
  <w:endnote w:type="continuationSeparator" w:id="0">
    <w:p w:rsidR="006A495F" w:rsidRDefault="006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5F" w:rsidRDefault="006A495F">
      <w:r>
        <w:separator/>
      </w:r>
    </w:p>
  </w:footnote>
  <w:footnote w:type="continuationSeparator" w:id="0">
    <w:p w:rsidR="006A495F" w:rsidRDefault="006A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725A"/>
    <w:multiLevelType w:val="singleLevel"/>
    <w:tmpl w:val="E9E7725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1C57C4"/>
    <w:rsid w:val="00211AF0"/>
    <w:rsid w:val="0022763C"/>
    <w:rsid w:val="002C24B2"/>
    <w:rsid w:val="005173AE"/>
    <w:rsid w:val="005C02AF"/>
    <w:rsid w:val="005D376D"/>
    <w:rsid w:val="00601FD8"/>
    <w:rsid w:val="006A495F"/>
    <w:rsid w:val="0071200D"/>
    <w:rsid w:val="00967E44"/>
    <w:rsid w:val="00A1234B"/>
    <w:rsid w:val="00A620A7"/>
    <w:rsid w:val="00A64C26"/>
    <w:rsid w:val="00C1782F"/>
    <w:rsid w:val="00D87D04"/>
    <w:rsid w:val="00EB306D"/>
    <w:rsid w:val="00F71448"/>
    <w:rsid w:val="01EC2B89"/>
    <w:rsid w:val="06AE1774"/>
    <w:rsid w:val="08092667"/>
    <w:rsid w:val="09EB3D6C"/>
    <w:rsid w:val="135414DB"/>
    <w:rsid w:val="14641E9F"/>
    <w:rsid w:val="15994443"/>
    <w:rsid w:val="1FDB18DB"/>
    <w:rsid w:val="239736F3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3BB05AE7"/>
    <w:rsid w:val="3E9C298A"/>
    <w:rsid w:val="40F92C1F"/>
    <w:rsid w:val="421B2968"/>
    <w:rsid w:val="42772FBA"/>
    <w:rsid w:val="461F46C7"/>
    <w:rsid w:val="479859E7"/>
    <w:rsid w:val="48B36010"/>
    <w:rsid w:val="49251887"/>
    <w:rsid w:val="49615A54"/>
    <w:rsid w:val="4D0F02B1"/>
    <w:rsid w:val="4E987CD8"/>
    <w:rsid w:val="545F47A8"/>
    <w:rsid w:val="54D65083"/>
    <w:rsid w:val="55507667"/>
    <w:rsid w:val="5EF44326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7</cp:revision>
  <cp:lastPrinted>2020-05-14T01:08:00Z</cp:lastPrinted>
  <dcterms:created xsi:type="dcterms:W3CDTF">2020-09-25T07:49:00Z</dcterms:created>
  <dcterms:modified xsi:type="dcterms:W3CDTF">2020-09-25T09:23:00Z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