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莲湖校区明月楼食堂顶楼员工集体宿舍维修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6"/>
          <w:szCs w:val="36"/>
        </w:rPr>
        <w:t>采购比选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文件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因教学及工作需要，经学校领导同意，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spacing w:val="0"/>
          <w:w w:val="100"/>
          <w:sz w:val="32"/>
          <w:szCs w:val="32"/>
        </w:rPr>
        <w:t>后勤服务处暑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期决定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spacing w:val="0"/>
          <w:w w:val="100"/>
          <w:sz w:val="32"/>
          <w:szCs w:val="32"/>
        </w:rPr>
        <w:t>对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莲湖校区明月楼食堂顶楼员工集体宿舍维修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，现面向社会公开采购比选承包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spacing w:val="0"/>
          <w:w w:val="100"/>
          <w:sz w:val="32"/>
          <w:szCs w:val="32"/>
        </w:rPr>
        <w:t>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一、基本要求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对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莲湖校区明月楼食堂顶楼员工集体宿舍维修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。（具体要求见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莲湖校区明月楼食堂顶楼员工集体宿舍维修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工程清单报价表中项目特征）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二、比选文件要求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技术标内容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公司营业执照等相关资质文件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保修期限1年（承诺书）。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经济标内容</w:t>
      </w:r>
    </w:p>
    <w:p>
      <w:pPr>
        <w:keepLines w:val="0"/>
        <w:snapToGrid/>
        <w:spacing w:before="0" w:beforeAutospacing="0" w:after="0" w:afterAutospacing="0" w:line="3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w w:val="100"/>
          <w:sz w:val="32"/>
          <w:szCs w:val="32"/>
        </w:rPr>
        <w:t>根据后勤服务处对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莲湖校区明月楼食堂顶楼员工集体宿舍维修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报下浮比例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结算时按照实际结算总价的下浮比例进行结算。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份，副本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、比选文件递交时间及地点</w:t>
      </w:r>
    </w:p>
    <w:p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10:00分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比选时间：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10:00分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比选地点：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四川文理学院莲湖校区望月楼会议室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如有调整另行通知。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比选办法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将依据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报价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确定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中标承包商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，下浮比例一致的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投标方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中标承包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商；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报价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询问和质疑联系方式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张老师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30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30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4160" w:firstLineChars="13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二〇二一年八月二日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80" w:lineRule="exact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br w:type="page"/>
      </w:r>
    </w:p>
    <w:p>
      <w:pPr>
        <w:keepLines w:val="0"/>
        <w:snapToGrid/>
        <w:spacing w:before="0" w:beforeAutospacing="0" w:after="0" w:afterAutospacing="0" w:line="380" w:lineRule="exact"/>
        <w:ind w:firstLine="640" w:firstLineChars="20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莲湖校区明月楼食堂顶楼员工集体宿舍维修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项目清单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00"/>
        <w:gridCol w:w="109"/>
        <w:gridCol w:w="780"/>
        <w:gridCol w:w="988"/>
        <w:gridCol w:w="1187"/>
        <w:gridCol w:w="2313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spacing w:line="440" w:lineRule="exact"/>
              <w:ind w:firstLine="426" w:firstLineChars="202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pacing w:line="440" w:lineRule="exact"/>
              <w:ind w:firstLine="426" w:firstLineChars="202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拆除、清理原玻璃门、及屋内隔墙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75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1875.00 </w:t>
            </w:r>
          </w:p>
        </w:tc>
        <w:tc>
          <w:tcPr>
            <w:tcW w:w="1359" w:type="pct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1.位置：</w:t>
            </w:r>
            <w:r>
              <w:rPr>
                <w:rFonts w:hint="eastAsia" w:ascii="方正小标宋简体" w:eastAsia="方正小标宋简体"/>
                <w:b w:val="0"/>
                <w:bCs w:val="0"/>
                <w:sz w:val="15"/>
                <w:szCs w:val="15"/>
                <w:lang w:val="en-US" w:eastAsia="zh-CN"/>
              </w:rPr>
              <w:t>明月楼食堂顶楼员工集体宿舍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区2.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拆除、清理原玻璃门、及屋内隔墙，拆除物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需运出校外自行处理，处理办法需满足地方环保部门规定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3.含人材机等综合费用</w:t>
            </w:r>
          </w:p>
        </w:tc>
        <w:tc>
          <w:tcPr>
            <w:tcW w:w="738" w:type="pct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楼层高度约6层。没有电梯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轻质隔墙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49.50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4950.00 </w:t>
            </w:r>
          </w:p>
        </w:tc>
        <w:tc>
          <w:tcPr>
            <w:tcW w:w="135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1.位置：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明月楼食堂顶楼员工集体宿舍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zh-CN"/>
              </w:rPr>
              <w:t>.砖品种、规格、强度等级:GRC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光面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zh-CN"/>
              </w:rPr>
              <w:t>空心轻质隔墙板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 xml:space="preserve"> 100mm厚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含两根c25混凝土构造柱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zh-CN"/>
              </w:rPr>
              <w:t>.勾缝要求:不勾缝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水泥粘接剂榫口处嵌缝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5.含人工、材料、机械等费用</w:t>
            </w:r>
          </w:p>
        </w:tc>
        <w:tc>
          <w:tcPr>
            <w:tcW w:w="738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74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仿瓷涂料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7440.00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1.铲除原墙面涂料、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5"/>
                <w:szCs w:val="15"/>
                <w:lang w:val="zh-CN"/>
              </w:rPr>
              <w:t>清理基层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2.墙面腻子膏找平，重新粉刷白色仿瓷涂料两遍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3.含人工、材料、机械等费用</w:t>
            </w:r>
          </w:p>
        </w:tc>
        <w:tc>
          <w:tcPr>
            <w:tcW w:w="73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踢脚线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5.5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359" w:type="pct"/>
            <w:noWrap w:val="0"/>
            <w:vAlign w:val="top"/>
          </w:tcPr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1.300*300墙砖，水泥砂浆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抹灰</w:t>
            </w:r>
            <w:r>
              <w:rPr>
                <w:rFonts w:hint="eastAsia" w:ascii="宋体" w:hAnsi="宋体"/>
                <w:sz w:val="15"/>
                <w:szCs w:val="15"/>
              </w:rPr>
              <w:t>砌筑，白水泥勾缝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2.含运输、安装、材料等费用</w:t>
            </w:r>
          </w:p>
        </w:tc>
        <w:tc>
          <w:tcPr>
            <w:tcW w:w="738" w:type="pc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新增外墙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7.5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.00 </w:t>
            </w:r>
          </w:p>
        </w:tc>
        <w:tc>
          <w:tcPr>
            <w:tcW w:w="1359" w:type="pct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sz w:val="15"/>
                <w:szCs w:val="15"/>
                <w:lang w:eastAsia="zh-CN"/>
              </w:rPr>
              <w:t>1.新砌1</w:t>
            </w:r>
            <w:r>
              <w:rPr>
                <w:rFonts w:hint="eastAsia" w:ascii="宋体" w:hAnsi="宋体" w:cs="Times New Roman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sz w:val="15"/>
                <w:szCs w:val="15"/>
                <w:lang w:eastAsia="zh-CN"/>
              </w:rPr>
              <w:t>0厚实心砖墙砖墙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，高度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3m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以内。</w:t>
            </w:r>
          </w:p>
          <w:p>
            <w:pPr>
              <w:pStyle w:val="2"/>
              <w:ind w:firstLine="0" w:firstLineChars="0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2.MU7.5 12厚水泥砂浆抹灰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3、含两根c25混凝土构造柱及两根门过梁.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15"/>
                <w:szCs w:val="15"/>
                <w:lang w:eastAsia="zh-CN"/>
              </w:rPr>
              <w:t>3.含人工、机械、运输等费用</w:t>
            </w:r>
          </w:p>
        </w:tc>
        <w:tc>
          <w:tcPr>
            <w:tcW w:w="738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线路改造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00.00 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明月楼食堂顶楼员工集体宿舍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4组空调线、4组插座线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主线均采用4 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铜芯线约700m支线采用2.5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铜芯线约700m。24个普通插座、4个空调插座、4个开关、8个吸顶灯。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  <w:t>要求严格按照国家对电力安装相关要求进行安装。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包干完成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防盗门及指纹防盗锁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6400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.00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1、防盗门乙级2050*960外包边外开门。2、</w:t>
            </w:r>
            <w:r>
              <w:rPr>
                <w:rFonts w:hint="eastAsia" w:ascii="宋体" w:hAnsi="宋体" w:cs="Times New Roman"/>
                <w:sz w:val="15"/>
                <w:szCs w:val="15"/>
                <w:lang w:eastAsia="zh-CN"/>
              </w:rPr>
              <w:t>含人工、机械、运输等费用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仿瓷涂料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2160.00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1.铲除原墙面涂料、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5"/>
                <w:szCs w:val="15"/>
                <w:lang w:val="zh-CN"/>
              </w:rPr>
              <w:t>清理基层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2.墙面腻子膏找平，重新粉刷白色仿瓷涂料两遍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3.含人工、材料、机械等费用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晾衣杆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600.00 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1、不锈钢材质7m长。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2、</w:t>
            </w:r>
            <w:r>
              <w:rPr>
                <w:rFonts w:hint="eastAsia" w:ascii="宋体" w:hAnsi="宋体" w:cs="Times New Roman"/>
                <w:sz w:val="15"/>
                <w:szCs w:val="15"/>
                <w:lang w:eastAsia="zh-CN"/>
              </w:rPr>
              <w:t>含人工、机械、运输等费用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二次转运费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00.00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1、用于本项目所有建筑材料的转运费。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楼层高度约6层。没有电梯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清洁费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00.00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1.负责以上施工场地的日常保洁，及交付使用前的整体清洁、恢复原貌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2.负责以上施工现场产生的建筑垃圾，需运出校外自行处理，处理办法需满足地方环保部门规定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暂列金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2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00.00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00.00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2153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.00元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2153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%计取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47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153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44357.00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完成该项目的所有费用。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4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结算总价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下浮比例</w:t>
            </w:r>
          </w:p>
        </w:tc>
        <w:tc>
          <w:tcPr>
            <w:tcW w:w="3835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5"/>
                <w:szCs w:val="15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%（签字和盖章：             ）</w:t>
            </w:r>
          </w:p>
        </w:tc>
      </w:tr>
    </w:tbl>
    <w:p>
      <w:pPr>
        <w:snapToGrid/>
        <w:spacing w:before="0" w:beforeAutospacing="0" w:after="0" w:afterAutospacing="0" w:line="64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F4B2A"/>
    <w:rsid w:val="5FC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2021-08-04T09:54:00Z</dcterms:created>
  <dc:creator>张弨</dc:creator>
  <cp:lastModifiedBy>张弨</cp:lastModifiedBy>
  <dcterms:modified xsi:type="dcterms:W3CDTF">2021-08-04T09:54:35Z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A050BC167D254B60BF1D12B64EAA8C2F</vt:lpwstr>
  </property>
</Properties>
</file>