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莲湖校区食堂楼道墙面粉刷项目采购比选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因学校发展的需要，经领导同意，决定对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莲湖校区食堂楼道墙面粉刷项目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后勤服务处对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莲湖校区食堂楼道墙面粉刷项目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莲湖校区食堂楼道墙面粉刷项目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根据后勤服务处对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莲湖校区食堂楼道墙面粉刷项目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sz w:val="32"/>
          <w:szCs w:val="32"/>
        </w:rPr>
        <w:t>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二〇二一年十一月十一日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莲湖校区食堂楼道墙面粉刷项目清单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08"/>
        <w:gridCol w:w="498"/>
        <w:gridCol w:w="210"/>
        <w:gridCol w:w="993"/>
        <w:gridCol w:w="1134"/>
        <w:gridCol w:w="3281"/>
        <w:gridCol w:w="590"/>
        <w:gridCol w:w="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966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58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6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928" w:type="pct"/>
            <w:vAlign w:val="center"/>
          </w:tcPr>
          <w:p>
            <w:pPr>
              <w:spacing w:line="440" w:lineRule="exact"/>
              <w:ind w:firstLine="426" w:firstLineChars="20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346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2503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t>860</w:t>
            </w:r>
          </w:p>
        </w:tc>
        <w:tc>
          <w:tcPr>
            <w:tcW w:w="58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27.00</w:t>
            </w:r>
          </w:p>
        </w:tc>
        <w:tc>
          <w:tcPr>
            <w:tcW w:w="666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23220.00</w:t>
            </w:r>
          </w:p>
        </w:tc>
        <w:tc>
          <w:tcPr>
            <w:tcW w:w="1928" w:type="pct"/>
          </w:tcPr>
          <w:p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1.位置：新校区新月楼和明月楼楼道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.基层类型：墙面一般抹灰面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.腻子种类：石膏粉腻子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.刮腻子要求：清理基层，修补，砂纸打磨；满刮腻子一遍，找补两遍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.油漆品种、刷漆遍数：乳胶漆底漆一遍，面漆两遍，材料符合环保要求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34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1704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清理建筑废料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8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600.00</w:t>
            </w:r>
          </w:p>
        </w:tc>
        <w:tc>
          <w:tcPr>
            <w:tcW w:w="66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600.00</w:t>
            </w:r>
          </w:p>
        </w:tc>
        <w:tc>
          <w:tcPr>
            <w:tcW w:w="1928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1.位置：新校区新月楼和明月楼楼道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2.负责以上施工场地的日常保洁，及交付使用前的整体清洁、恢复原貌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3.负责以上施工现场产生的建筑垃圾，需运出校外自行处理，处理办法需满足地方环保部门规定</w:t>
            </w:r>
          </w:p>
        </w:tc>
        <w:tc>
          <w:tcPr>
            <w:tcW w:w="34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1365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措施费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8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800.00</w:t>
            </w:r>
          </w:p>
        </w:tc>
        <w:tc>
          <w:tcPr>
            <w:tcW w:w="66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800.00</w:t>
            </w:r>
          </w:p>
        </w:tc>
        <w:tc>
          <w:tcPr>
            <w:tcW w:w="1928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1.位置：新校区新月楼和明月楼过道及楼道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2.过程：发生于该工程施工前和施工过程中技术、生活、安全等方面的非工程实体项目。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3.施工特点：全楼梯施工需要全过程搭脚手架</w:t>
            </w:r>
          </w:p>
        </w:tc>
        <w:tc>
          <w:tcPr>
            <w:tcW w:w="34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417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8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66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928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488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082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2305.80元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9%计取</w:t>
            </w:r>
          </w:p>
        </w:tc>
        <w:tc>
          <w:tcPr>
            <w:tcW w:w="34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499" w:hRule="atLeast"/>
        </w:trPr>
        <w:tc>
          <w:tcPr>
            <w:tcW w:w="564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082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27925.80元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34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3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szCs w:val="21"/>
              </w:rPr>
              <w:t>下浮比例</w:t>
            </w:r>
          </w:p>
        </w:tc>
        <w:tc>
          <w:tcPr>
            <w:tcW w:w="3726" w:type="pct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26562"/>
    <w:rsid w:val="3E7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2021-11-11T08:59:00Z</dcterms:created>
  <dc:creator>嘿 ，</dc:creator>
  <cp:lastModifiedBy>嘿 ，</cp:lastModifiedBy>
  <dcterms:modified xsi:type="dcterms:W3CDTF">2021-11-11T09:00:31Z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23E5B8D216654BD79EA59B28672B0BBB</vt:lpwstr>
  </property>
</Properties>
</file>