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明月楼化粪池清掏项目采购比选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因学校发展的需要，经领导同意，决定对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明月楼化粪池清掏项目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，现面向社会公开采购比选承包</w:t>
      </w:r>
      <w:r>
        <w:rPr>
          <w:rFonts w:hint="eastAsia" w:ascii="仿宋" w:hAnsi="仿宋" w:eastAsia="仿宋" w:cs="仿宋"/>
          <w:sz w:val="32"/>
          <w:szCs w:val="32"/>
        </w:rPr>
        <w:t>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一、基本要求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后勤服务处对</w:t>
      </w:r>
      <w:r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  <w:t>明月楼化粪池清掏项目</w:t>
      </w:r>
      <w:r>
        <w:rPr>
          <w:rFonts w:hint="eastAsia" w:ascii="仿宋" w:hAnsi="仿宋" w:eastAsia="仿宋" w:cs="仿宋"/>
          <w:sz w:val="32"/>
          <w:szCs w:val="32"/>
        </w:rPr>
        <w:t>。（具体要求见</w:t>
      </w:r>
      <w:r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  <w:t>明月楼化粪池清掏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工程清单报价表中项目特征）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二、比选文件要求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技术标内容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公司负责人（或法定代表人）身份证明文件；是委托的，应有公司负责人（或法定代表人）的委托书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公司营业执照等相关资质文件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保修期限1年（承诺书）。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经济标内容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根据后勤服务处对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明月楼化粪池清掏项目</w:t>
      </w:r>
      <w:r>
        <w:rPr>
          <w:rFonts w:hint="eastAsia" w:ascii="仿宋" w:hAnsi="仿宋" w:eastAsia="仿宋" w:cs="仿宋"/>
          <w:sz w:val="32"/>
          <w:szCs w:val="32"/>
        </w:rPr>
        <w:t>报下浮比例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结算时按照实际结算总价的下浮比例进行结算。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上述资料均需加盖公司鲜章，一式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份（其中正本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份，副本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sz w:val="32"/>
          <w:szCs w:val="32"/>
        </w:rPr>
        <w:t>份），密封在一个文件包内，在密封包的密封处加盖公司鲜章或由法定代表人或委托代理人签字。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、比选文件递交时间及地点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比选文件递交截止时间：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9:30时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比选时间：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9:30时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比选地点：</w:t>
      </w:r>
      <w:r>
        <w:rPr>
          <w:rFonts w:hint="eastAsia" w:ascii="仿宋" w:hAnsi="仿宋" w:eastAsia="仿宋" w:cs="仿宋"/>
          <w:sz w:val="32"/>
          <w:szCs w:val="32"/>
        </w:rPr>
        <w:t>四川文理学院莲湖校区望月楼会议室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如有调整另行通知。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比选办法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采购单位</w:t>
      </w:r>
      <w:r>
        <w:rPr>
          <w:rFonts w:hint="eastAsia" w:ascii="仿宋" w:hAnsi="仿宋" w:eastAsia="仿宋" w:cs="仿宋"/>
          <w:sz w:val="32"/>
          <w:szCs w:val="32"/>
        </w:rPr>
        <w:t>将依据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各意向承包商第一轮</w:t>
      </w:r>
      <w:r>
        <w:rPr>
          <w:rFonts w:hint="eastAsia" w:ascii="仿宋" w:hAnsi="仿宋" w:eastAsia="仿宋" w:cs="仿宋"/>
          <w:sz w:val="32"/>
          <w:szCs w:val="32"/>
        </w:rPr>
        <w:t>报价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下浮比例最高者</w:t>
      </w:r>
      <w:r>
        <w:rPr>
          <w:rFonts w:hint="eastAsia" w:ascii="仿宋" w:hAnsi="仿宋" w:eastAsia="仿宋" w:cs="仿宋"/>
          <w:sz w:val="32"/>
          <w:szCs w:val="32"/>
        </w:rPr>
        <w:t>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中标承包商</w:t>
      </w:r>
      <w:r>
        <w:rPr>
          <w:rFonts w:hint="eastAsia" w:ascii="仿宋" w:hAnsi="仿宋" w:eastAsia="仿宋" w:cs="仿宋"/>
          <w:sz w:val="32"/>
          <w:szCs w:val="32"/>
        </w:rPr>
        <w:t>，下浮比例一致的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投标方</w:t>
      </w:r>
      <w:r>
        <w:rPr>
          <w:rFonts w:hint="eastAsia" w:ascii="仿宋" w:hAnsi="仿宋" w:eastAsia="仿宋" w:cs="仿宋"/>
          <w:sz w:val="32"/>
          <w:szCs w:val="32"/>
        </w:rPr>
        <w:t>需现场进行抽签确定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中标承包</w:t>
      </w:r>
      <w:r>
        <w:rPr>
          <w:rFonts w:hint="eastAsia" w:ascii="仿宋" w:hAnsi="仿宋" w:eastAsia="仿宋" w:cs="仿宋"/>
          <w:sz w:val="32"/>
          <w:szCs w:val="32"/>
        </w:rPr>
        <w:t>商；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如只有一家意向承包商参与竞标，则通过现场谈价方式确定项目金额；如只有两家意向承包商参与竞标，仍采用第一轮</w:t>
      </w:r>
      <w:r>
        <w:rPr>
          <w:rFonts w:hint="eastAsia" w:ascii="仿宋" w:hAnsi="仿宋" w:eastAsia="仿宋" w:cs="仿宋"/>
          <w:sz w:val="32"/>
          <w:szCs w:val="32"/>
        </w:rPr>
        <w:t>报价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下浮比例最高者确定中标承包商。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询问和质疑联系方式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张老师</w:t>
      </w:r>
      <w:r>
        <w:rPr>
          <w:rFonts w:hint="eastAsia" w:ascii="仿宋" w:hAnsi="仿宋" w:eastAsia="仿宋" w:cs="仿宋"/>
          <w:sz w:val="32"/>
          <w:szCs w:val="32"/>
        </w:rPr>
        <w:t xml:space="preserve">        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0818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-2830667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二〇二二年一月十八日</w:t>
      </w:r>
    </w:p>
    <w:p>
      <w:pPr>
        <w:spacing w:line="640" w:lineRule="exac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640" w:lineRule="exac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3" w:firstLineChars="200"/>
        <w:jc w:val="center"/>
        <w:textAlignment w:val="auto"/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  <w:t>明月楼化粪池清掏项目清单</w:t>
      </w:r>
    </w:p>
    <w:tbl>
      <w:tblPr>
        <w:tblStyle w:val="3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514"/>
        <w:gridCol w:w="708"/>
        <w:gridCol w:w="1089"/>
        <w:gridCol w:w="1101"/>
        <w:gridCol w:w="305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416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数量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单价（元）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金额（元）</w:t>
            </w:r>
          </w:p>
        </w:tc>
        <w:tc>
          <w:tcPr>
            <w:tcW w:w="1796" w:type="pct"/>
            <w:vAlign w:val="center"/>
          </w:tcPr>
          <w:p>
            <w:pPr>
              <w:spacing w:line="440" w:lineRule="exact"/>
              <w:ind w:firstLine="426" w:firstLineChars="202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项目特征</w:t>
            </w:r>
          </w:p>
        </w:tc>
        <w:tc>
          <w:tcPr>
            <w:tcW w:w="520" w:type="pct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清掏化粪池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项</w:t>
            </w:r>
          </w:p>
        </w:tc>
        <w:tc>
          <w:tcPr>
            <w:tcW w:w="416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8000.00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8000.00</w:t>
            </w:r>
          </w:p>
        </w:tc>
        <w:tc>
          <w:tcPr>
            <w:tcW w:w="1796" w:type="pct"/>
          </w:tcPr>
          <w:p>
            <w:pPr>
              <w:jc w:val="left"/>
              <w:rPr>
                <w:rFonts w:hint="default" w:ascii="宋体" w:hAnsi="宋体" w:cs="宋体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1.位置：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莲湖校区明月楼洗碗间下</w:t>
            </w:r>
          </w:p>
          <w:p>
            <w:pPr>
              <w:jc w:val="left"/>
              <w:rPr>
                <w:rFonts w:ascii="宋体" w:hAnsi="宋体" w:cs="宋体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</w:t>
            </w:r>
            <w:r>
              <w:rPr>
                <w:rFonts w:hint="eastAsia" w:ascii="宋体" w:hAnsi="宋体" w:cs="宋体"/>
                <w:sz w:val="15"/>
                <w:szCs w:val="15"/>
                <w:lang w:val="zh-CN"/>
              </w:rPr>
              <w:t>.要求：清掏后化粪池无污物，排污管道通畅</w:t>
            </w:r>
          </w:p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5"/>
                <w:szCs w:val="15"/>
                <w:lang w:val="zh-CN"/>
              </w:rPr>
              <w:t>.含人工、材料、机械等费用</w:t>
            </w:r>
          </w:p>
        </w:tc>
        <w:tc>
          <w:tcPr>
            <w:tcW w:w="520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ind w:firstLine="210" w:firstLineChars="100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拆除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项</w:t>
            </w:r>
          </w:p>
        </w:tc>
        <w:tc>
          <w:tcPr>
            <w:tcW w:w="416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500.00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500.00</w:t>
            </w:r>
          </w:p>
        </w:tc>
        <w:tc>
          <w:tcPr>
            <w:tcW w:w="1796" w:type="pct"/>
          </w:tcPr>
          <w:p>
            <w:pPr>
              <w:jc w:val="left"/>
              <w:rPr>
                <w:rFonts w:hint="default" w:ascii="宋体" w:hAnsi="宋体" w:cs="宋体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1.位置：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莲湖校区明月楼洗碗间下</w:t>
            </w:r>
          </w:p>
          <w:p>
            <w:pPr>
              <w:jc w:val="lef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</w:t>
            </w:r>
            <w:r>
              <w:rPr>
                <w:rFonts w:hint="eastAsia" w:ascii="宋体" w:hAnsi="宋体" w:cs="宋体"/>
                <w:sz w:val="15"/>
                <w:szCs w:val="15"/>
                <w:lang w:val="zh-CN"/>
              </w:rPr>
              <w:t>.含人工、材料、机械等费用</w:t>
            </w:r>
          </w:p>
        </w:tc>
        <w:tc>
          <w:tcPr>
            <w:tcW w:w="520" w:type="pct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由于化粪池污水井口贴地砖需揭开地砖找污水井进行清掏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活动盖板</w:t>
            </w:r>
          </w:p>
        </w:tc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</w:p>
        </w:tc>
        <w:tc>
          <w:tcPr>
            <w:tcW w:w="416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40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1000.00</w:t>
            </w:r>
          </w:p>
        </w:tc>
        <w:tc>
          <w:tcPr>
            <w:tcW w:w="64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1000.00</w:t>
            </w:r>
          </w:p>
        </w:tc>
        <w:tc>
          <w:tcPr>
            <w:tcW w:w="1796" w:type="pct"/>
          </w:tcPr>
          <w:p>
            <w:pPr>
              <w:jc w:val="left"/>
              <w:rPr>
                <w:rFonts w:hint="default" w:ascii="宋体" w:hAnsi="宋体" w:cs="宋体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1.位置：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莲湖校区明月楼洗碗间下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2.材质：定制高分子井盖</w:t>
            </w:r>
          </w:p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5"/>
                <w:szCs w:val="15"/>
                <w:lang w:val="zh-CN"/>
              </w:rPr>
              <w:t>.含人工、材料、机械等费用</w:t>
            </w:r>
          </w:p>
        </w:tc>
        <w:tc>
          <w:tcPr>
            <w:tcW w:w="520" w:type="pct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53" w:type="dxa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暂列金</w:t>
            </w:r>
          </w:p>
        </w:tc>
        <w:tc>
          <w:tcPr>
            <w:tcW w:w="3412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1000.00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元</w:t>
            </w:r>
          </w:p>
        </w:tc>
        <w:tc>
          <w:tcPr>
            <w:tcW w:w="3055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税前造价</w:t>
            </w:r>
          </w:p>
        </w:tc>
        <w:tc>
          <w:tcPr>
            <w:tcW w:w="2005" w:type="pct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10500.00</w:t>
            </w:r>
            <w:r>
              <w:rPr>
                <w:rFonts w:hint="eastAsia" w:ascii="宋体" w:hAnsi="宋体" w:cs="宋体"/>
                <w:kern w:val="0"/>
                <w:sz w:val="22"/>
              </w:rPr>
              <w:t>元</w:t>
            </w:r>
          </w:p>
        </w:tc>
        <w:tc>
          <w:tcPr>
            <w:tcW w:w="1796" w:type="pc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税金</w:t>
            </w:r>
          </w:p>
        </w:tc>
        <w:tc>
          <w:tcPr>
            <w:tcW w:w="2005" w:type="pct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945.00</w:t>
            </w:r>
            <w:r>
              <w:rPr>
                <w:rFonts w:hint="eastAsia" w:ascii="宋体" w:hAnsi="宋体" w:cs="宋体"/>
                <w:kern w:val="0"/>
                <w:sz w:val="22"/>
              </w:rPr>
              <w:t>元</w:t>
            </w:r>
          </w:p>
        </w:tc>
        <w:tc>
          <w:tcPr>
            <w:tcW w:w="1796" w:type="pc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9%计取</w:t>
            </w:r>
          </w:p>
        </w:tc>
        <w:tc>
          <w:tcPr>
            <w:tcW w:w="520" w:type="pc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7" w:type="pct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2005" w:type="pct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11445.00</w:t>
            </w:r>
            <w:r>
              <w:rPr>
                <w:rFonts w:hint="eastAsia" w:ascii="宋体" w:hAnsi="宋体" w:cs="宋体"/>
                <w:kern w:val="0"/>
                <w:sz w:val="22"/>
              </w:rPr>
              <w:t>元</w:t>
            </w:r>
          </w:p>
        </w:tc>
        <w:tc>
          <w:tcPr>
            <w:tcW w:w="1796" w:type="pc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完成该项目的所有费用（含税）。</w:t>
            </w:r>
          </w:p>
        </w:tc>
        <w:tc>
          <w:tcPr>
            <w:tcW w:w="520" w:type="pc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654AC"/>
    <w:rsid w:val="28EA2FEB"/>
    <w:rsid w:val="2FB061C9"/>
    <w:rsid w:val="38BA2EA0"/>
    <w:rsid w:val="4206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300" w:lineRule="auto"/>
      <w:ind w:firstLine="643" w:firstLineChars="200"/>
    </w:pPr>
    <w:rPr>
      <w:rFonts w:ascii="Cambria" w:hAnsi="Cambria" w:cs="宋体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2021-11-11T08:48:00Z</dcterms:created>
  <dc:creator>嘿 ，</dc:creator>
  <cp:lastModifiedBy>嘿 ，</cp:lastModifiedBy>
  <dcterms:modified xsi:type="dcterms:W3CDTF">2022-01-22T04:11:08Z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D1213911CB8848859C79762F1D49D724</vt:lpwstr>
  </property>
</Properties>
</file>